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D1" w:rsidRPr="003E4BD1" w:rsidRDefault="003E4BD1" w:rsidP="00553E44">
      <w:pPr>
        <w:jc w:val="both"/>
        <w:rPr>
          <w:b/>
        </w:rPr>
      </w:pPr>
      <w:r w:rsidRPr="003E4BD1">
        <w:rPr>
          <w:b/>
        </w:rPr>
        <w:t>Exposé des motifs de l</w:t>
      </w:r>
      <w:r w:rsidR="000E29DF">
        <w:rPr>
          <w:b/>
        </w:rPr>
        <w:t>’</w:t>
      </w:r>
      <w:r w:rsidRPr="003E4BD1">
        <w:rPr>
          <w:b/>
        </w:rPr>
        <w:t>a</w:t>
      </w:r>
      <w:r w:rsidR="000E29DF">
        <w:rPr>
          <w:b/>
        </w:rPr>
        <w:t xml:space="preserve">mendement à la </w:t>
      </w:r>
      <w:r w:rsidR="000E29DF" w:rsidRPr="00AE0447">
        <w:rPr>
          <w:b/>
        </w:rPr>
        <w:t>troisième</w:t>
      </w:r>
      <w:r w:rsidRPr="003E4BD1">
        <w:rPr>
          <w:b/>
        </w:rPr>
        <w:t xml:space="preserve"> résolution : </w:t>
      </w:r>
      <w:r w:rsidR="000E29DF">
        <w:rPr>
          <w:b/>
        </w:rPr>
        <w:t>a</w:t>
      </w:r>
      <w:r w:rsidRPr="003E4BD1">
        <w:rPr>
          <w:b/>
        </w:rPr>
        <w:t>ffectation du bénéfice, fixation du dividende, option du paiement du solde du dividende de l’exercice 2015 en actions</w:t>
      </w:r>
    </w:p>
    <w:p w:rsidR="005D361E" w:rsidRPr="005D361E" w:rsidRDefault="005D361E" w:rsidP="005D361E">
      <w:pPr>
        <w:jc w:val="both"/>
      </w:pPr>
      <w:r w:rsidRPr="005D361E">
        <w:t>Compte tenu des résultats, des flux nets de trésorerie d’exploitation et d’investissement du Groupe ces dernières années et de la baisse des cours du Brent sur une durée in</w:t>
      </w:r>
      <w:r w:rsidR="00A369E4">
        <w:t>déterminé</w:t>
      </w:r>
      <w:r w:rsidRPr="005D361E">
        <w:t xml:space="preserve">e, et afin de disposer de marges de manœuvre en termes d’investissements dans un secteur énergétique en profonde </w:t>
      </w:r>
      <w:r w:rsidR="00C439A3">
        <w:t>muta</w:t>
      </w:r>
      <w:r w:rsidRPr="005D361E">
        <w:t>tion, il est proposé de réduire le montant du dividende par action à 2,04 €</w:t>
      </w:r>
      <w:r>
        <w:t xml:space="preserve">, soit le niveau qu’il avait en 2007 lorsque le cours du Brent </w:t>
      </w:r>
      <w:r w:rsidR="00BB75B2">
        <w:t>s’élev</w:t>
      </w:r>
      <w:r>
        <w:t>ait à 72,4 $/b.</w:t>
      </w:r>
      <w:r w:rsidRPr="005D361E">
        <w:t xml:space="preserve"> </w:t>
      </w:r>
    </w:p>
    <w:p w:rsidR="000D521C" w:rsidRDefault="006C67C8" w:rsidP="00553E44">
      <w:pPr>
        <w:jc w:val="both"/>
      </w:pPr>
      <w:r>
        <w:t xml:space="preserve">Depuis 2000, le dividende </w:t>
      </w:r>
      <w:r w:rsidR="00AA05C5">
        <w:t xml:space="preserve">net par action </w:t>
      </w:r>
      <w:r>
        <w:t xml:space="preserve">n’a cessé </w:t>
      </w:r>
      <w:r w:rsidR="00B42409">
        <w:t xml:space="preserve">d’augmenter : de </w:t>
      </w:r>
      <w:r w:rsidR="00AA05C5">
        <w:t>0</w:t>
      </w:r>
      <w:r w:rsidR="00B42409">
        <w:t>,</w:t>
      </w:r>
      <w:r w:rsidR="00AA05C5">
        <w:t>83</w:t>
      </w:r>
      <w:r w:rsidR="00B42409">
        <w:t> € en 2000 à 2,44 €</w:t>
      </w:r>
      <w:r w:rsidR="00765F60">
        <w:t xml:space="preserve"> </w:t>
      </w:r>
      <w:r w:rsidR="00AA05C5">
        <w:t>en</w:t>
      </w:r>
      <w:r w:rsidR="00B42409">
        <w:t xml:space="preserve"> 2014. Aussi, </w:t>
      </w:r>
      <w:r w:rsidR="00DF7885">
        <w:t xml:space="preserve">la reconduction du </w:t>
      </w:r>
      <w:r w:rsidR="00B42409">
        <w:t>niveau actuel ne correspond-t-</w:t>
      </w:r>
      <w:r w:rsidR="00DF7885">
        <w:t>el</w:t>
      </w:r>
      <w:r w:rsidR="00B42409">
        <w:t>l</w:t>
      </w:r>
      <w:r w:rsidR="00DF7885">
        <w:t>e</w:t>
      </w:r>
      <w:r w:rsidR="00B42409">
        <w:t xml:space="preserve"> pas a priori au contexte économique et stratégique d’aujourd’hui : chute du cours du Brent et réduction plus ou moins contrainte à terme des émissions</w:t>
      </w:r>
      <w:r w:rsidR="00EB4C40">
        <w:t xml:space="preserve"> mondiales</w:t>
      </w:r>
      <w:r w:rsidR="00B42409">
        <w:t xml:space="preserve"> de </w:t>
      </w:r>
      <w:r w:rsidR="00EB4C40">
        <w:t xml:space="preserve">carbone. Dès lors, il est naturel de s’interroger sur la pertinence </w:t>
      </w:r>
      <w:r w:rsidR="00DF7885">
        <w:t>du maintien</w:t>
      </w:r>
      <w:r w:rsidR="000D521C">
        <w:t xml:space="preserve"> d</w:t>
      </w:r>
      <w:r w:rsidR="004F23EF">
        <w:t xml:space="preserve">u </w:t>
      </w:r>
      <w:r w:rsidR="000D521C">
        <w:t xml:space="preserve">dividende </w:t>
      </w:r>
      <w:r w:rsidR="00A369E4">
        <w:t>à ce niveau sur</w:t>
      </w:r>
      <w:r w:rsidR="00EB4C40">
        <w:t xml:space="preserve"> l’exercice 2015</w:t>
      </w:r>
      <w:r w:rsidR="001A4D8D">
        <w:t xml:space="preserve">. </w:t>
      </w:r>
    </w:p>
    <w:p w:rsidR="00EB4C40" w:rsidRDefault="00EB4C40" w:rsidP="00EB4C40">
      <w:pPr>
        <w:spacing w:after="0"/>
        <w:jc w:val="both"/>
      </w:pPr>
      <w:r>
        <w:t>Plus précisément,</w:t>
      </w:r>
    </w:p>
    <w:p w:rsidR="00EB4C40" w:rsidRDefault="00EB4C40" w:rsidP="00EB4C40">
      <w:pPr>
        <w:pStyle w:val="Paragraphedeliste"/>
        <w:numPr>
          <w:ilvl w:val="0"/>
          <w:numId w:val="3"/>
        </w:numPr>
        <w:ind w:left="567" w:hanging="283"/>
        <w:jc w:val="both"/>
      </w:pPr>
      <w:r>
        <w:t>u</w:t>
      </w:r>
      <w:r w:rsidR="002F5E0E">
        <w:t>n niveau moyen de cours du Brent</w:t>
      </w:r>
      <w:r w:rsidR="00553E44">
        <w:t xml:space="preserve"> de</w:t>
      </w:r>
      <w:r w:rsidR="002F5E0E">
        <w:t xml:space="preserve"> </w:t>
      </w:r>
      <w:r w:rsidR="00553E44">
        <w:t xml:space="preserve">43,8 $/b </w:t>
      </w:r>
      <w:r w:rsidR="002F5E0E">
        <w:t>au 4</w:t>
      </w:r>
      <w:r w:rsidR="002F5E0E" w:rsidRPr="00EB4C40">
        <w:rPr>
          <w:vertAlign w:val="superscript"/>
        </w:rPr>
        <w:t>e</w:t>
      </w:r>
      <w:r w:rsidR="002F5E0E">
        <w:t xml:space="preserve"> trimestre 2015 </w:t>
      </w:r>
      <w:r w:rsidR="00553E44">
        <w:t xml:space="preserve">et de </w:t>
      </w:r>
      <w:r w:rsidR="00553E44" w:rsidRPr="009F7317">
        <w:t>3</w:t>
      </w:r>
      <w:r w:rsidR="006C67C8" w:rsidRPr="009F7317">
        <w:t>4</w:t>
      </w:r>
      <w:r w:rsidR="00553E44" w:rsidRPr="009F7317">
        <w:t>,</w:t>
      </w:r>
      <w:r w:rsidR="00270A8F" w:rsidRPr="009F7317">
        <w:t>8</w:t>
      </w:r>
      <w:r w:rsidR="00553E44">
        <w:t xml:space="preserve"> $/b entre le 1</w:t>
      </w:r>
      <w:r w:rsidR="00553E44" w:rsidRPr="009F7317">
        <w:t>er</w:t>
      </w:r>
      <w:r w:rsidR="00553E44">
        <w:t xml:space="preserve"> janvier et le </w:t>
      </w:r>
      <w:r w:rsidR="00270A8F" w:rsidRPr="009F7317">
        <w:t>23</w:t>
      </w:r>
      <w:r w:rsidR="00553E44">
        <w:t xml:space="preserve"> mars</w:t>
      </w:r>
      <w:r w:rsidR="002F5E0E">
        <w:t xml:space="preserve"> </w:t>
      </w:r>
      <w:r w:rsidR="00553E44">
        <w:t>2016</w:t>
      </w:r>
      <w:r w:rsidR="00D058F3">
        <w:t xml:space="preserve"> </w:t>
      </w:r>
      <w:r w:rsidR="00D058F3" w:rsidRPr="00D058F3">
        <w:rPr>
          <w:sz w:val="20"/>
          <w:szCs w:val="20"/>
        </w:rPr>
        <w:t xml:space="preserve">(source : </w:t>
      </w:r>
      <w:hyperlink r:id="rId8" w:history="1">
        <w:r w:rsidR="00D058F3" w:rsidRPr="00D058F3">
          <w:rPr>
            <w:rStyle w:val="Lienhypertexte"/>
            <w:sz w:val="20"/>
            <w:szCs w:val="20"/>
          </w:rPr>
          <w:t>http://fr.investing.com/commodities/brent-oil-historical-data</w:t>
        </w:r>
      </w:hyperlink>
      <w:r w:rsidR="00D058F3" w:rsidRPr="00D058F3">
        <w:rPr>
          <w:sz w:val="20"/>
          <w:szCs w:val="20"/>
        </w:rPr>
        <w:t>)</w:t>
      </w:r>
      <w:r>
        <w:t>,</w:t>
      </w:r>
    </w:p>
    <w:p w:rsidR="00EB4C40" w:rsidRDefault="00553E44" w:rsidP="00EB4C40">
      <w:pPr>
        <w:pStyle w:val="Paragraphedeliste"/>
        <w:numPr>
          <w:ilvl w:val="0"/>
          <w:numId w:val="3"/>
        </w:numPr>
        <w:ind w:left="567" w:hanging="283"/>
        <w:jc w:val="both"/>
      </w:pPr>
      <w:r>
        <w:t xml:space="preserve">des résultats </w:t>
      </w:r>
      <w:r w:rsidR="00762431">
        <w:t>du Groupe affectés</w:t>
      </w:r>
      <w:r>
        <w:t xml:space="preserve"> depuis 201</w:t>
      </w:r>
      <w:r w:rsidR="008D7B27">
        <w:t>1</w:t>
      </w:r>
      <w:r>
        <w:t xml:space="preserve"> par de considérables dépréciations exceptionnelles (1</w:t>
      </w:r>
      <w:r w:rsidR="008D7B27">
        <w:t>6</w:t>
      </w:r>
      <w:r>
        <w:t>,5</w:t>
      </w:r>
      <w:r w:rsidR="00F715EF">
        <w:t> </w:t>
      </w:r>
      <w:r w:rsidR="008D7B27">
        <w:t>G</w:t>
      </w:r>
      <w:r>
        <w:t>$</w:t>
      </w:r>
      <w:r w:rsidR="008D7B27">
        <w:t xml:space="preserve"> d’impact </w:t>
      </w:r>
      <w:r w:rsidR="00762431">
        <w:t xml:space="preserve">cumulé </w:t>
      </w:r>
      <w:r w:rsidR="008D7B27">
        <w:t>sur le résultat net</w:t>
      </w:r>
      <w:r w:rsidR="00EB4C40">
        <w:t>)</w:t>
      </w:r>
      <w:r w:rsidR="00E35B5E">
        <w:t>,</w:t>
      </w:r>
    </w:p>
    <w:p w:rsidR="00EB4C40" w:rsidRDefault="00EB4C40" w:rsidP="00EB4C40">
      <w:pPr>
        <w:pStyle w:val="Paragraphedeliste"/>
        <w:numPr>
          <w:ilvl w:val="0"/>
          <w:numId w:val="3"/>
        </w:numPr>
        <w:spacing w:after="0"/>
        <w:ind w:left="568" w:hanging="284"/>
        <w:jc w:val="both"/>
      </w:pPr>
      <w:r>
        <w:t xml:space="preserve">dépréciations exceptionnelles </w:t>
      </w:r>
      <w:r w:rsidR="00553E44">
        <w:t>non compensées</w:t>
      </w:r>
      <w:r w:rsidR="00F715EF">
        <w:t xml:space="preserve"> </w:t>
      </w:r>
      <w:r w:rsidR="00A369E4">
        <w:t>par l</w:t>
      </w:r>
      <w:r w:rsidR="00553E44">
        <w:t>es plus-values</w:t>
      </w:r>
      <w:r w:rsidR="00F715EF">
        <w:t xml:space="preserve"> nettes</w:t>
      </w:r>
      <w:r w:rsidR="00553E44">
        <w:t xml:space="preserve"> (6,1</w:t>
      </w:r>
      <w:r w:rsidR="00F715EF">
        <w:t> </w:t>
      </w:r>
      <w:r w:rsidR="00553E44">
        <w:t>G$</w:t>
      </w:r>
      <w:r>
        <w:t xml:space="preserve"> cumulées depuis 2011</w:t>
      </w:r>
      <w:r w:rsidR="00553E44">
        <w:t xml:space="preserve">) </w:t>
      </w:r>
      <w:r>
        <w:t xml:space="preserve">sur d’importantes </w:t>
      </w:r>
      <w:r w:rsidR="00762431">
        <w:t>cessions</w:t>
      </w:r>
      <w:r w:rsidR="00765F60">
        <w:t xml:space="preserve"> d’actifs</w:t>
      </w:r>
      <w:r w:rsidR="00762431">
        <w:t xml:space="preserve"> </w:t>
      </w:r>
      <w:r w:rsidR="00553E44">
        <w:t>(39,7</w:t>
      </w:r>
      <w:r w:rsidR="00F715EF">
        <w:t> </w:t>
      </w:r>
      <w:r w:rsidR="00553E44">
        <w:t>G$</w:t>
      </w:r>
      <w:r w:rsidR="00F715EF">
        <w:t xml:space="preserve"> brut</w:t>
      </w:r>
      <w:r>
        <w:t>)</w:t>
      </w:r>
    </w:p>
    <w:p w:rsidR="00727AD3" w:rsidRDefault="00553E44" w:rsidP="00EB4C40">
      <w:pPr>
        <w:jc w:val="both"/>
      </w:pPr>
      <w:proofErr w:type="gramStart"/>
      <w:r>
        <w:t>conduisent</w:t>
      </w:r>
      <w:proofErr w:type="gramEnd"/>
      <w:r>
        <w:t xml:space="preserve"> à s’interroger sur la pertinence</w:t>
      </w:r>
      <w:r w:rsidR="005467E9">
        <w:t xml:space="preserve"> </w:t>
      </w:r>
      <w:r w:rsidR="00A369E4">
        <w:t>du maintien</w:t>
      </w:r>
      <w:r w:rsidR="005467E9">
        <w:t xml:space="preserve"> du dividende à </w:t>
      </w:r>
      <w:r>
        <w:t>2,44</w:t>
      </w:r>
      <w:r w:rsidR="00762431">
        <w:t> </w:t>
      </w:r>
      <w:r>
        <w:t>€ par action</w:t>
      </w:r>
      <w:r w:rsidR="00F715EF">
        <w:t>,</w:t>
      </w:r>
      <w:r w:rsidR="005467E9">
        <w:t xml:space="preserve"> tel que recommandé par </w:t>
      </w:r>
      <w:r w:rsidR="00762431">
        <w:t>le</w:t>
      </w:r>
      <w:r w:rsidR="005467E9">
        <w:t xml:space="preserve"> Conseil d’administration. </w:t>
      </w:r>
    </w:p>
    <w:p w:rsidR="0013354F" w:rsidRDefault="005467E9" w:rsidP="00D51377">
      <w:pPr>
        <w:spacing w:after="60"/>
        <w:jc w:val="both"/>
      </w:pPr>
      <w:r>
        <w:t xml:space="preserve">Pour </w:t>
      </w:r>
      <w:r w:rsidR="00F715EF">
        <w:t xml:space="preserve">apprécier le niveau du dividende proposé par </w:t>
      </w:r>
      <w:r w:rsidR="006C67C8">
        <w:t>l</w:t>
      </w:r>
      <w:r w:rsidR="00F715EF">
        <w:t>e Conseil d’administration</w:t>
      </w:r>
      <w:r>
        <w:t xml:space="preserve">, il </w:t>
      </w:r>
      <w:r w:rsidR="00762431">
        <w:t>convien</w:t>
      </w:r>
      <w:r>
        <w:t xml:space="preserve">t </w:t>
      </w:r>
      <w:r w:rsidR="001A4D8D">
        <w:t xml:space="preserve">d’abord </w:t>
      </w:r>
      <w:r w:rsidR="00762431">
        <w:t>d</w:t>
      </w:r>
      <w:r>
        <w:t xml:space="preserve">e considérer sur </w:t>
      </w:r>
      <w:r w:rsidR="00763AE6">
        <w:t>cinq ans</w:t>
      </w:r>
      <w:r>
        <w:t xml:space="preserve">, non </w:t>
      </w:r>
      <w:r w:rsidR="00E35B5E">
        <w:t xml:space="preserve">pas </w:t>
      </w:r>
      <w:r>
        <w:t xml:space="preserve">le </w:t>
      </w:r>
      <w:r w:rsidR="00762431">
        <w:t xml:space="preserve">seul </w:t>
      </w:r>
      <w:r>
        <w:t>résultat « ajusté » par action tel qu’affiché par Total, mais le résultat net par action évalué</w:t>
      </w:r>
      <w:r w:rsidR="004F23EF">
        <w:t>, lui aussi,</w:t>
      </w:r>
      <w:r>
        <w:t xml:space="preserve"> au coût de remplacement</w:t>
      </w:r>
      <w:r w:rsidR="00733E4E">
        <w:t xml:space="preserve"> des stocks</w:t>
      </w:r>
      <w:r>
        <w:t xml:space="preserve">, </w:t>
      </w:r>
      <w:r w:rsidR="00762431">
        <w:t xml:space="preserve">selon la </w:t>
      </w:r>
      <w:r>
        <w:t>pratique habituelle des majors pétrolières.</w:t>
      </w:r>
    </w:p>
    <w:p w:rsidR="00F715EF" w:rsidRPr="00F715EF" w:rsidRDefault="00F715EF" w:rsidP="00F715EF">
      <w:pPr>
        <w:spacing w:after="0"/>
        <w:jc w:val="center"/>
        <w:rPr>
          <w:b/>
        </w:rPr>
      </w:pPr>
      <w:r w:rsidRPr="00F715EF">
        <w:rPr>
          <w:b/>
        </w:rPr>
        <w:t>Du résultat net « ajusté » au résultat net, valorisés au coût de remplacement</w:t>
      </w:r>
    </w:p>
    <w:p w:rsidR="00F715EF" w:rsidRDefault="00F715EF" w:rsidP="000E6487">
      <w:pPr>
        <w:spacing w:after="20"/>
        <w:jc w:val="center"/>
      </w:pPr>
      <w:r w:rsidRPr="00F715EF">
        <w:rPr>
          <w:b/>
        </w:rPr>
        <w:t>Taux de distribution du résultat net</w:t>
      </w:r>
    </w:p>
    <w:p w:rsidR="0013354F" w:rsidRDefault="00E721E5" w:rsidP="005D361E">
      <w:pPr>
        <w:spacing w:after="0"/>
        <w:jc w:val="center"/>
      </w:pPr>
      <w:r>
        <w:rPr>
          <w:noProof/>
          <w:lang w:eastAsia="fr-FR"/>
        </w:rPr>
        <w:drawing>
          <wp:inline distT="0" distB="0" distL="0" distR="0">
            <wp:extent cx="4459616" cy="3101009"/>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72275" cy="3109812"/>
                    </a:xfrm>
                    <a:prstGeom prst="rect">
                      <a:avLst/>
                    </a:prstGeom>
                    <a:noFill/>
                    <a:ln w="9525">
                      <a:noFill/>
                      <a:miter lim="800000"/>
                      <a:headEnd/>
                      <a:tailEnd/>
                    </a:ln>
                  </pic:spPr>
                </pic:pic>
              </a:graphicData>
            </a:graphic>
          </wp:inline>
        </w:drawing>
      </w:r>
    </w:p>
    <w:p w:rsidR="005467E9" w:rsidRDefault="0013354F" w:rsidP="00553E44">
      <w:pPr>
        <w:jc w:val="both"/>
      </w:pPr>
      <w:r>
        <w:lastRenderedPageBreak/>
        <w:t xml:space="preserve">Autrement dit, le taux de distribution du résultat net </w:t>
      </w:r>
      <w:r w:rsidR="00E35B5E">
        <w:t>(</w:t>
      </w:r>
      <w:r>
        <w:t>valorisé au coût de remplacement</w:t>
      </w:r>
      <w:r w:rsidR="00E35B5E">
        <w:t>)</w:t>
      </w:r>
      <w:r>
        <w:t xml:space="preserve"> </w:t>
      </w:r>
      <w:r w:rsidR="00E35B5E">
        <w:t>sur les</w:t>
      </w:r>
      <w:r>
        <w:t xml:space="preserve"> exercices 2014 et 2015 est supérieur à 100 % alors que celui</w:t>
      </w:r>
      <w:r w:rsidR="00765F60">
        <w:t>,</w:t>
      </w:r>
      <w:r>
        <w:t xml:space="preserve"> </w:t>
      </w:r>
      <w:r w:rsidR="00F715EF">
        <w:t>affiché</w:t>
      </w:r>
      <w:r w:rsidR="00765F60">
        <w:t>,</w:t>
      </w:r>
      <w:r w:rsidR="00F715EF">
        <w:t xml:space="preserve"> </w:t>
      </w:r>
      <w:r>
        <w:t xml:space="preserve">du résultat net </w:t>
      </w:r>
      <w:r w:rsidR="004F23EF">
        <w:t>« </w:t>
      </w:r>
      <w:r>
        <w:t>ajusté</w:t>
      </w:r>
      <w:r w:rsidR="004F23EF">
        <w:t> »</w:t>
      </w:r>
      <w:r>
        <w:t xml:space="preserve"> est entre 50 et 60</w:t>
      </w:r>
      <w:r w:rsidR="004F23EF">
        <w:t> </w:t>
      </w:r>
      <w:r>
        <w:t>%.</w:t>
      </w:r>
    </w:p>
    <w:p w:rsidR="006034BD" w:rsidRDefault="004441A6" w:rsidP="00B07D43">
      <w:pPr>
        <w:spacing w:after="120"/>
        <w:jc w:val="both"/>
      </w:pPr>
      <w:r>
        <w:t>Au vu du contexte des exercices 2014 et plus encore 2015, l</w:t>
      </w:r>
      <w:r w:rsidR="00992605">
        <w:t xml:space="preserve">e </w:t>
      </w:r>
      <w:r w:rsidR="00762431">
        <w:t>maintien</w:t>
      </w:r>
      <w:r w:rsidR="00992605">
        <w:t xml:space="preserve"> de ce taux de distribution </w:t>
      </w:r>
      <w:r w:rsidR="00F715EF">
        <w:t>a</w:t>
      </w:r>
      <w:r w:rsidR="00992605">
        <w:t xml:space="preserve"> </w:t>
      </w:r>
      <w:r w:rsidR="001A4D8D">
        <w:t xml:space="preserve">eu </w:t>
      </w:r>
      <w:r w:rsidR="00992605">
        <w:t xml:space="preserve">évidemment un impact sur le </w:t>
      </w:r>
      <w:r w:rsidR="00762431">
        <w:t xml:space="preserve">besoin de </w:t>
      </w:r>
      <w:r w:rsidR="00992605">
        <w:t xml:space="preserve">financement. </w:t>
      </w:r>
    </w:p>
    <w:p w:rsidR="006034BD" w:rsidRPr="006034BD" w:rsidRDefault="006034BD" w:rsidP="004F23EF">
      <w:pPr>
        <w:spacing w:after="20"/>
        <w:jc w:val="center"/>
        <w:rPr>
          <w:b/>
        </w:rPr>
      </w:pPr>
      <w:r w:rsidRPr="006034BD">
        <w:rPr>
          <w:b/>
        </w:rPr>
        <w:t>Extrait du tableau de flux de trésorerie consolidé</w:t>
      </w:r>
    </w:p>
    <w:p w:rsidR="006034BD" w:rsidRDefault="009679A3" w:rsidP="004F23EF">
      <w:pPr>
        <w:spacing w:after="60"/>
        <w:jc w:val="center"/>
      </w:pPr>
      <w:r>
        <w:rPr>
          <w:noProof/>
          <w:lang w:eastAsia="fr-FR"/>
        </w:rPr>
        <w:drawing>
          <wp:inline distT="0" distB="0" distL="0" distR="0">
            <wp:extent cx="5316276" cy="1594934"/>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337753" cy="1601377"/>
                    </a:xfrm>
                    <a:prstGeom prst="rect">
                      <a:avLst/>
                    </a:prstGeom>
                    <a:noFill/>
                    <a:ln w="9525">
                      <a:noFill/>
                      <a:miter lim="800000"/>
                      <a:headEnd/>
                      <a:tailEnd/>
                    </a:ln>
                  </pic:spPr>
                </pic:pic>
              </a:graphicData>
            </a:graphic>
          </wp:inline>
        </w:drawing>
      </w:r>
    </w:p>
    <w:p w:rsidR="001B7274" w:rsidRDefault="004F23EF" w:rsidP="009679A3">
      <w:pPr>
        <w:spacing w:after="120"/>
        <w:jc w:val="both"/>
      </w:pPr>
      <w:r>
        <w:t xml:space="preserve">Depuis désormais plusieurs années, le niveau du dividende est </w:t>
      </w:r>
      <w:r w:rsidR="00762431">
        <w:t xml:space="preserve">particulièrement </w:t>
      </w:r>
      <w:r>
        <w:t xml:space="preserve">élevé au </w:t>
      </w:r>
      <w:r w:rsidR="00762431">
        <w:t xml:space="preserve">regard du </w:t>
      </w:r>
      <w:r>
        <w:t>flux</w:t>
      </w:r>
      <w:r w:rsidR="00762431">
        <w:t xml:space="preserve"> net</w:t>
      </w:r>
      <w:r>
        <w:t xml:space="preserve"> de trésorerie </w:t>
      </w:r>
      <w:r w:rsidR="00245E34">
        <w:t xml:space="preserve">d’exploitation </w:t>
      </w:r>
      <w:r>
        <w:t xml:space="preserve">et d’investissement du Groupe. </w:t>
      </w:r>
      <w:r w:rsidR="009679A3">
        <w:t xml:space="preserve">En 2015, </w:t>
      </w:r>
      <w:r w:rsidR="006C67C8">
        <w:t>la</w:t>
      </w:r>
      <w:r w:rsidR="00992605">
        <w:t xml:space="preserve"> Société a rédui</w:t>
      </w:r>
      <w:r w:rsidR="00DC32FD">
        <w:t>t</w:t>
      </w:r>
      <w:r w:rsidR="00992605">
        <w:t xml:space="preserve"> l</w:t>
      </w:r>
      <w:r w:rsidR="00DA70B8">
        <w:t>’impact d</w:t>
      </w:r>
      <w:r w:rsidR="00992605">
        <w:t xml:space="preserve">e </w:t>
      </w:r>
      <w:r w:rsidR="00B22319">
        <w:t>ces</w:t>
      </w:r>
      <w:r w:rsidR="00992605">
        <w:t xml:space="preserve"> tension</w:t>
      </w:r>
      <w:r w:rsidR="00B22319">
        <w:t>s</w:t>
      </w:r>
      <w:r w:rsidR="00992605">
        <w:t xml:space="preserve"> </w:t>
      </w:r>
      <w:r w:rsidR="00B22319">
        <w:t>de</w:t>
      </w:r>
      <w:r w:rsidR="00992605">
        <w:t xml:space="preserve"> trésorerie </w:t>
      </w:r>
      <w:r w:rsidR="00DA70B8">
        <w:t xml:space="preserve">sur le ratio d’endettement </w:t>
      </w:r>
      <w:r w:rsidR="00B22319">
        <w:t>affiché</w:t>
      </w:r>
      <w:r w:rsidR="00801367">
        <w:rPr>
          <w:rStyle w:val="Appelnotedebasdep"/>
        </w:rPr>
        <w:footnoteReference w:id="1"/>
      </w:r>
      <w:r w:rsidR="00B22319">
        <w:t xml:space="preserve"> du Groupe (28</w:t>
      </w:r>
      <w:r w:rsidR="00801367">
        <w:t>,3</w:t>
      </w:r>
      <w:r w:rsidR="00B22319">
        <w:t xml:space="preserve"> % au 31/12/2015) </w:t>
      </w:r>
      <w:r w:rsidR="00DA70B8">
        <w:t xml:space="preserve">par </w:t>
      </w:r>
      <w:r w:rsidR="00992605">
        <w:t xml:space="preserve">au moins </w:t>
      </w:r>
      <w:r w:rsidR="00DC32FD">
        <w:t>quatre</w:t>
      </w:r>
      <w:r w:rsidR="00992605">
        <w:t xml:space="preserve"> </w:t>
      </w:r>
      <w:r w:rsidR="00DA70B8">
        <w:t>moyen</w:t>
      </w:r>
      <w:r w:rsidR="00992605">
        <w:t>s.</w:t>
      </w:r>
      <w:r w:rsidR="00D51377">
        <w:t xml:space="preserve"> Précisons que le ratio d’endettement est, au titre de l’exercice 2016, un des éléments de rémunération (part variable et indemnités de départ) du mandataire social.</w:t>
      </w:r>
    </w:p>
    <w:p w:rsidR="00DC32FD" w:rsidRDefault="00DC32FD" w:rsidP="00D145A4">
      <w:pPr>
        <w:pStyle w:val="Paragraphedeliste"/>
        <w:numPr>
          <w:ilvl w:val="0"/>
          <w:numId w:val="1"/>
        </w:numPr>
        <w:spacing w:after="120"/>
        <w:ind w:left="568" w:hanging="284"/>
        <w:contextualSpacing w:val="0"/>
        <w:jc w:val="both"/>
      </w:pPr>
      <w:r>
        <w:t xml:space="preserve">Conformément à l’autorisation donnée par l’Assemblée générale du </w:t>
      </w:r>
      <w:r w:rsidR="00E412FB">
        <w:t>16</w:t>
      </w:r>
      <w:r>
        <w:t xml:space="preserve"> mai 2014, TOTAL S.A. a procédé en 2015 </w:t>
      </w:r>
      <w:r w:rsidR="001A4D8D">
        <w:t xml:space="preserve">(comme en 2013) </w:t>
      </w:r>
      <w:r>
        <w:t xml:space="preserve">à une </w:t>
      </w:r>
      <w:r w:rsidRPr="006034BD">
        <w:rPr>
          <w:b/>
        </w:rPr>
        <w:t>augmentation de capital réservée aux salariés</w:t>
      </w:r>
      <w:r>
        <w:t xml:space="preserve">. </w:t>
      </w:r>
      <w:r w:rsidR="00E62AF5">
        <w:t>Environ 0,4 G€ ont été souscrits par les salariés et anciens salariés.</w:t>
      </w:r>
    </w:p>
    <w:p w:rsidR="001B7274" w:rsidRDefault="001B7274" w:rsidP="00D145A4">
      <w:pPr>
        <w:pStyle w:val="Paragraphedeliste"/>
        <w:numPr>
          <w:ilvl w:val="0"/>
          <w:numId w:val="1"/>
        </w:numPr>
        <w:spacing w:after="120"/>
        <w:ind w:left="568" w:hanging="284"/>
        <w:contextualSpacing w:val="0"/>
        <w:jc w:val="both"/>
      </w:pPr>
      <w:r>
        <w:t xml:space="preserve">TOTAL S.A. a procédé à des </w:t>
      </w:r>
      <w:r w:rsidRPr="006034BD">
        <w:rPr>
          <w:b/>
        </w:rPr>
        <w:t>émissions de titres subordonnés à durée indéterminée</w:t>
      </w:r>
      <w:r>
        <w:t xml:space="preserve"> au cours du 1</w:t>
      </w:r>
      <w:r w:rsidRPr="00D145A4">
        <w:rPr>
          <w:vertAlign w:val="superscript"/>
        </w:rPr>
        <w:t>er</w:t>
      </w:r>
      <w:r>
        <w:t xml:space="preserve"> trimestre 2015 pour un montant de 5 G€ avec option de remboursement après 6 ans pour moitié </w:t>
      </w:r>
      <w:r w:rsidR="004F23EF">
        <w:t xml:space="preserve">(au taux annuel de 2,250 %) </w:t>
      </w:r>
      <w:r>
        <w:t>et après 10 ans pour l’autre moitié</w:t>
      </w:r>
      <w:r w:rsidR="004F23EF">
        <w:t xml:space="preserve"> (2,625 %)</w:t>
      </w:r>
      <w:r>
        <w:t xml:space="preserve">. </w:t>
      </w:r>
      <w:r w:rsidR="00762431">
        <w:t>En 2015, c</w:t>
      </w:r>
      <w:r>
        <w:t>es titres ont été rémunéré</w:t>
      </w:r>
      <w:r w:rsidR="00B22319">
        <w:t>s</w:t>
      </w:r>
      <w:r>
        <w:t xml:space="preserve"> par TOTAL S.A. pour 114 M$. </w:t>
      </w:r>
      <w:r w:rsidR="00762431">
        <w:t>C</w:t>
      </w:r>
      <w:r>
        <w:t xml:space="preserve">es émissions </w:t>
      </w:r>
      <w:r w:rsidR="00F32C82">
        <w:t xml:space="preserve">et </w:t>
      </w:r>
      <w:r>
        <w:t>leur rémunération sont comptabilisées en capitaux propres</w:t>
      </w:r>
      <w:r w:rsidR="00F32C82">
        <w:t xml:space="preserve">, ce qui a permis de réduire </w:t>
      </w:r>
      <w:r w:rsidR="00D51377">
        <w:t xml:space="preserve">mécaniquement </w:t>
      </w:r>
      <w:r w:rsidR="00F32C82">
        <w:t>le ratio d’endettement du Groupe</w:t>
      </w:r>
      <w:r>
        <w:t>.</w:t>
      </w:r>
    </w:p>
    <w:p w:rsidR="00751820" w:rsidRDefault="00992605" w:rsidP="009679A3">
      <w:pPr>
        <w:pStyle w:val="Paragraphedeliste"/>
        <w:numPr>
          <w:ilvl w:val="0"/>
          <w:numId w:val="1"/>
        </w:numPr>
        <w:spacing w:after="60"/>
        <w:ind w:left="568" w:hanging="284"/>
        <w:contextualSpacing w:val="0"/>
        <w:jc w:val="both"/>
      </w:pPr>
      <w:r>
        <w:t xml:space="preserve">Alors que les versements des acomptes et du solde de dividende avaient </w:t>
      </w:r>
      <w:r w:rsidR="00AA411C">
        <w:t xml:space="preserve">régulièrement </w:t>
      </w:r>
      <w:r>
        <w:t xml:space="preserve">lieu avant la fin de chaque trimestre, </w:t>
      </w:r>
      <w:r w:rsidR="00FD33F5">
        <w:t xml:space="preserve">à partir du solde du dividende 2014, </w:t>
      </w:r>
      <w:r w:rsidR="00FD33F5" w:rsidRPr="006034BD">
        <w:rPr>
          <w:b/>
        </w:rPr>
        <w:t>les versements</w:t>
      </w:r>
      <w:r w:rsidRPr="006034BD">
        <w:rPr>
          <w:b/>
        </w:rPr>
        <w:t xml:space="preserve"> ont </w:t>
      </w:r>
      <w:r w:rsidR="004F23EF">
        <w:rPr>
          <w:b/>
        </w:rPr>
        <w:t xml:space="preserve">été </w:t>
      </w:r>
      <w:r w:rsidRPr="006034BD">
        <w:rPr>
          <w:b/>
        </w:rPr>
        <w:t xml:space="preserve">effectués quelques jours </w:t>
      </w:r>
      <w:r w:rsidRPr="006034BD">
        <w:rPr>
          <w:b/>
          <w:u w:val="single"/>
        </w:rPr>
        <w:t>après</w:t>
      </w:r>
      <w:r w:rsidRPr="006034BD">
        <w:rPr>
          <w:b/>
        </w:rPr>
        <w:t xml:space="preserve"> le début du trimestre suivant</w:t>
      </w:r>
      <w:r>
        <w:t>.</w:t>
      </w:r>
      <w:r w:rsidR="00FD33F5">
        <w:t xml:space="preserve"> La Société prévoit </w:t>
      </w:r>
      <w:r w:rsidR="004F23EF">
        <w:t xml:space="preserve">cependant </w:t>
      </w:r>
      <w:r w:rsidR="00FD33F5">
        <w:t xml:space="preserve">de verser le solde du dividende 2015 avant la fin du </w:t>
      </w:r>
      <w:r w:rsidR="00AA411C">
        <w:t>2</w:t>
      </w:r>
      <w:r w:rsidR="00FD33F5" w:rsidRPr="00FD33F5">
        <w:rPr>
          <w:vertAlign w:val="superscript"/>
        </w:rPr>
        <w:t>e</w:t>
      </w:r>
      <w:r w:rsidR="00FD33F5">
        <w:t xml:space="preserve"> </w:t>
      </w:r>
      <w:r w:rsidR="00AA411C">
        <w:t>tri</w:t>
      </w:r>
      <w:r w:rsidR="00FD33F5">
        <w:t>mestre 2016</w:t>
      </w:r>
      <w:r w:rsidR="00AA411C">
        <w:t xml:space="preserve">, ce qui va </w:t>
      </w:r>
      <w:r w:rsidR="00AE0447">
        <w:t xml:space="preserve">d’ailleurs </w:t>
      </w:r>
      <w:r w:rsidR="00AA411C">
        <w:t xml:space="preserve">concentrer sur ce trimestre deux </w:t>
      </w:r>
      <w:r w:rsidR="006034BD">
        <w:t>verseme</w:t>
      </w:r>
      <w:r w:rsidR="00AA411C">
        <w:t>n</w:t>
      </w:r>
      <w:r w:rsidR="006034BD">
        <w:t>t</w:t>
      </w:r>
      <w:r w:rsidR="00AA411C">
        <w:t>s de dividende</w:t>
      </w:r>
      <w:r w:rsidR="00FD33F5">
        <w:t>.</w:t>
      </w:r>
    </w:p>
    <w:p w:rsidR="004F23EF" w:rsidRPr="009679A3" w:rsidRDefault="009679A3" w:rsidP="009679A3">
      <w:pPr>
        <w:pStyle w:val="Paragraphedeliste"/>
        <w:spacing w:after="20"/>
        <w:ind w:left="567"/>
        <w:contextualSpacing w:val="0"/>
        <w:jc w:val="center"/>
        <w:rPr>
          <w:b/>
        </w:rPr>
      </w:pPr>
      <w:r w:rsidRPr="009679A3">
        <w:rPr>
          <w:b/>
        </w:rPr>
        <w:t>Date de mise en paiement des acomptes et soldes de dividendes</w:t>
      </w:r>
    </w:p>
    <w:p w:rsidR="00FD33F5" w:rsidRDefault="009679A3" w:rsidP="009679A3">
      <w:pPr>
        <w:pStyle w:val="Paragraphedeliste"/>
        <w:ind w:left="426"/>
        <w:jc w:val="center"/>
      </w:pPr>
      <w:r>
        <w:rPr>
          <w:noProof/>
          <w:lang w:eastAsia="fr-FR"/>
        </w:rPr>
        <w:drawing>
          <wp:inline distT="0" distB="0" distL="0" distR="0">
            <wp:extent cx="4497291" cy="65865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03210" cy="659526"/>
                    </a:xfrm>
                    <a:prstGeom prst="rect">
                      <a:avLst/>
                    </a:prstGeom>
                    <a:noFill/>
                    <a:ln w="9525">
                      <a:noFill/>
                      <a:miter lim="800000"/>
                      <a:headEnd/>
                      <a:tailEnd/>
                    </a:ln>
                  </pic:spPr>
                </pic:pic>
              </a:graphicData>
            </a:graphic>
          </wp:inline>
        </w:drawing>
      </w:r>
    </w:p>
    <w:p w:rsidR="00751820" w:rsidRDefault="00751820" w:rsidP="00751820">
      <w:pPr>
        <w:pStyle w:val="Paragraphedeliste"/>
        <w:spacing w:after="120"/>
        <w:ind w:left="568"/>
        <w:contextualSpacing w:val="0"/>
        <w:jc w:val="both"/>
      </w:pPr>
      <w:r>
        <w:lastRenderedPageBreak/>
        <w:t>La pression sur la trésorerie du Groupe alors engendrée dépendra de l’intérêt qu’auront trouvé les actionnaires à exercer l’option du versement en actions du 3</w:t>
      </w:r>
      <w:r w:rsidRPr="00751820">
        <w:rPr>
          <w:vertAlign w:val="superscript"/>
        </w:rPr>
        <w:t>e</w:t>
      </w:r>
      <w:r>
        <w:t xml:space="preserve"> acompte et du solde du dividende 2015. </w:t>
      </w:r>
      <w:r w:rsidR="00AE0447">
        <w:t>Or, c</w:t>
      </w:r>
      <w:r>
        <w:t>omme l</w:t>
      </w:r>
      <w:r w:rsidR="00B22319">
        <w:t>’</w:t>
      </w:r>
      <w:r>
        <w:t xml:space="preserve">a montré le faible taux d’exercice </w:t>
      </w:r>
      <w:r w:rsidR="00AC6E22">
        <w:t xml:space="preserve">(38 %) </w:t>
      </w:r>
      <w:r>
        <w:t>de cette option pour le 2</w:t>
      </w:r>
      <w:r w:rsidRPr="00751820">
        <w:rPr>
          <w:vertAlign w:val="superscript"/>
        </w:rPr>
        <w:t>e</w:t>
      </w:r>
      <w:r>
        <w:t xml:space="preserve"> acompte</w:t>
      </w:r>
      <w:r w:rsidR="001A4D8D">
        <w:t xml:space="preserve"> 2015</w:t>
      </w:r>
      <w:r>
        <w:t>, cet intérêt dépend grandement du cours de bourse le jou</w:t>
      </w:r>
      <w:r w:rsidR="001A4D8D">
        <w:t>r de fin d’exercice de l’option. A</w:t>
      </w:r>
      <w:r w:rsidR="00B22319">
        <w:t xml:space="preserve">u vu de l’actuelle volatilité des marchés boursiers, le taux d’exercice effectif de l’option du versement du dividende en actions </w:t>
      </w:r>
      <w:r w:rsidR="009679A3">
        <w:t>demeure</w:t>
      </w:r>
      <w:r w:rsidR="00B22319">
        <w:t xml:space="preserve"> aléatoire</w:t>
      </w:r>
      <w:r w:rsidR="009679A3">
        <w:t xml:space="preserve"> malgré la décote annoncée de 10 % calculée sur un cours bien antérieur à celui prévalant le jour du choix de l’option</w:t>
      </w:r>
      <w:r w:rsidR="00B22319">
        <w:t>.</w:t>
      </w:r>
    </w:p>
    <w:p w:rsidR="00AC6E22" w:rsidRDefault="000B5C68" w:rsidP="00AC6E22">
      <w:pPr>
        <w:pStyle w:val="Paragraphedeliste"/>
        <w:numPr>
          <w:ilvl w:val="0"/>
          <w:numId w:val="1"/>
        </w:numPr>
        <w:spacing w:after="120"/>
        <w:ind w:left="568" w:hanging="284"/>
        <w:contextualSpacing w:val="0"/>
        <w:jc w:val="both"/>
      </w:pPr>
      <w:r>
        <w:t xml:space="preserve">L’Assemblée générale du 29 mai 2015 a autorisé le </w:t>
      </w:r>
      <w:r w:rsidRPr="006034BD">
        <w:rPr>
          <w:b/>
        </w:rPr>
        <w:t>paiement en actions du solde du dividende de l’exercice 2014 et des acomptes relatifs à l’exercice 2015</w:t>
      </w:r>
      <w:r>
        <w:t>.</w:t>
      </w:r>
      <w:r w:rsidR="00463903">
        <w:t xml:space="preserve"> </w:t>
      </w:r>
      <w:r w:rsidR="006C67C8">
        <w:t>Le</w:t>
      </w:r>
      <w:r w:rsidR="00463903">
        <w:t xml:space="preserve"> Conseil d’administration propose d’étendre cette option au solde du dividende 2015 </w:t>
      </w:r>
      <w:r w:rsidR="00463903" w:rsidRPr="00EC149D">
        <w:t>et aux acomptes relatifs à l’exercice 2016</w:t>
      </w:r>
      <w:r w:rsidR="00463903">
        <w:t>.</w:t>
      </w:r>
      <w:r w:rsidR="008B4A79">
        <w:t xml:space="preserve"> </w:t>
      </w:r>
    </w:p>
    <w:p w:rsidR="00AC6E22" w:rsidRDefault="00762431" w:rsidP="00AC6E22">
      <w:pPr>
        <w:pStyle w:val="Paragraphedeliste"/>
        <w:spacing w:after="120"/>
        <w:ind w:left="568"/>
        <w:contextualSpacing w:val="0"/>
        <w:jc w:val="both"/>
      </w:pPr>
      <w:r>
        <w:t>D’après</w:t>
      </w:r>
      <w:r w:rsidR="001B2B51">
        <w:t xml:space="preserve"> les communiqués successifs du Groupe, cette modalité de paiement du dividende a permis au Groupe de réduire son flux sortant de trésorerie de 2,2</w:t>
      </w:r>
      <w:r w:rsidR="00DE598D">
        <w:t> </w:t>
      </w:r>
      <w:r w:rsidR="001B2B51">
        <w:t>G€ jusqu’au versement du 2</w:t>
      </w:r>
      <w:r w:rsidR="001B2B51" w:rsidRPr="001B2B51">
        <w:rPr>
          <w:vertAlign w:val="superscript"/>
        </w:rPr>
        <w:t>e</w:t>
      </w:r>
      <w:r w:rsidR="001B2B51">
        <w:t xml:space="preserve"> acompte 2015 le 14 janvier 2016</w:t>
      </w:r>
      <w:r w:rsidR="00463903">
        <w:rPr>
          <w:rStyle w:val="Appelnotedebasdep"/>
        </w:rPr>
        <w:footnoteReference w:id="2"/>
      </w:r>
      <w:r w:rsidR="001B2B51">
        <w:t>. La création d’actions nouvelles</w:t>
      </w:r>
      <w:r w:rsidR="00751820">
        <w:t xml:space="preserve"> ainsi</w:t>
      </w:r>
      <w:r w:rsidR="001B2B51">
        <w:t xml:space="preserve"> livrées</w:t>
      </w:r>
      <w:r w:rsidR="00463903">
        <w:t xml:space="preserve"> </w:t>
      </w:r>
      <w:r w:rsidR="001B2B51">
        <w:t xml:space="preserve">a conduit jusqu’à cette date à une augmentation de capital de 2,37 %, générant </w:t>
      </w:r>
      <w:r w:rsidR="00751820">
        <w:t>elle</w:t>
      </w:r>
      <w:r w:rsidR="001B2B51">
        <w:t>-même un flux additionnel futur de dividendes.</w:t>
      </w:r>
    </w:p>
    <w:p w:rsidR="008D7B27" w:rsidRDefault="00751820" w:rsidP="00EC23CB">
      <w:pPr>
        <w:pStyle w:val="Paragraphedeliste"/>
        <w:ind w:left="567"/>
        <w:contextualSpacing w:val="0"/>
        <w:jc w:val="both"/>
      </w:pPr>
      <w:r>
        <w:t xml:space="preserve">En maintenant </w:t>
      </w:r>
      <w:r w:rsidR="00AC6E22">
        <w:t xml:space="preserve">son dividende inchangé au titre des exercices 2016 et 2017, et en supposant un taux d’exercice moyen de l’option sur la période égale au taux d’exercice (51 %) des trois opérations connues à la date de dépôt de la présente résolution, </w:t>
      </w:r>
      <w:r w:rsidR="00AC6E22" w:rsidRPr="002C7F35">
        <w:rPr>
          <w:b/>
        </w:rPr>
        <w:t>le capital de TOTAL S.A. serait mécaniquement accru de 10,7 %</w:t>
      </w:r>
      <w:r w:rsidR="00E51D4C" w:rsidRPr="002C7F35">
        <w:rPr>
          <w:b/>
        </w:rPr>
        <w:t xml:space="preserve"> fin juin 2018</w:t>
      </w:r>
      <w:r w:rsidR="00AC6E22" w:rsidRPr="002C7F35">
        <w:rPr>
          <w:b/>
        </w:rPr>
        <w:t xml:space="preserve">, créant alors un besoin additionnel de dividendes annuels de </w:t>
      </w:r>
      <w:r w:rsidR="001B7274" w:rsidRPr="002C7F35">
        <w:rPr>
          <w:b/>
        </w:rPr>
        <w:t xml:space="preserve">plus de </w:t>
      </w:r>
      <w:r w:rsidR="00AC6E22" w:rsidRPr="002C7F35">
        <w:rPr>
          <w:b/>
        </w:rPr>
        <w:t>600 M€ par rapport à la situation de mai 2015</w:t>
      </w:r>
      <w:r w:rsidR="00AC6E22">
        <w:t>.</w:t>
      </w:r>
      <w:r w:rsidR="00E51D4C">
        <w:t xml:space="preserve"> </w:t>
      </w:r>
    </w:p>
    <w:p w:rsidR="0064672E" w:rsidRPr="002C7F35" w:rsidRDefault="00762431" w:rsidP="009679A3">
      <w:pPr>
        <w:spacing w:after="60"/>
        <w:jc w:val="both"/>
        <w:rPr>
          <w:b/>
        </w:rPr>
      </w:pPr>
      <w:r>
        <w:rPr>
          <w:b/>
        </w:rPr>
        <w:t>Le dividende proposé</w:t>
      </w:r>
      <w:r w:rsidR="001B7274" w:rsidRPr="002C7F35">
        <w:rPr>
          <w:b/>
        </w:rPr>
        <w:t xml:space="preserve"> </w:t>
      </w:r>
      <w:r w:rsidR="00765F60">
        <w:rPr>
          <w:b/>
        </w:rPr>
        <w:t xml:space="preserve">par le Conseil d’administration </w:t>
      </w:r>
      <w:r>
        <w:rPr>
          <w:b/>
        </w:rPr>
        <w:t xml:space="preserve">constitue </w:t>
      </w:r>
      <w:r w:rsidR="001B7274" w:rsidRPr="002C7F35">
        <w:rPr>
          <w:b/>
        </w:rPr>
        <w:t xml:space="preserve">un pari substantiel sur l’avenir du cours du Brent et de la capacité du Groupe </w:t>
      </w:r>
      <w:r w:rsidR="006034BD" w:rsidRPr="002C7F35">
        <w:rPr>
          <w:b/>
        </w:rPr>
        <w:t xml:space="preserve">à générer des flux </w:t>
      </w:r>
      <w:r w:rsidR="00245E34">
        <w:rPr>
          <w:b/>
        </w:rPr>
        <w:t xml:space="preserve">nets </w:t>
      </w:r>
      <w:r w:rsidR="006034BD" w:rsidRPr="002C7F35">
        <w:rPr>
          <w:b/>
        </w:rPr>
        <w:t xml:space="preserve">pérennes de trésorerie </w:t>
      </w:r>
      <w:r w:rsidR="00245E34">
        <w:rPr>
          <w:b/>
        </w:rPr>
        <w:t xml:space="preserve">d’exploitation </w:t>
      </w:r>
      <w:r w:rsidR="006034BD" w:rsidRPr="002C7F35">
        <w:rPr>
          <w:b/>
        </w:rPr>
        <w:t xml:space="preserve">et d’investissement censés </w:t>
      </w:r>
      <w:r w:rsidR="002C7F35" w:rsidRPr="002C7F35">
        <w:rPr>
          <w:b/>
        </w:rPr>
        <w:t xml:space="preserve">à l’avenir </w:t>
      </w:r>
      <w:r w:rsidR="0064672E" w:rsidRPr="002C7F35">
        <w:rPr>
          <w:b/>
        </w:rPr>
        <w:t>compens</w:t>
      </w:r>
      <w:r w:rsidR="006034BD" w:rsidRPr="002C7F35">
        <w:rPr>
          <w:b/>
        </w:rPr>
        <w:t>er</w:t>
      </w:r>
      <w:r w:rsidR="001A4D8D" w:rsidRPr="002C7F35">
        <w:rPr>
          <w:b/>
        </w:rPr>
        <w:t xml:space="preserve"> </w:t>
      </w:r>
      <w:r w:rsidR="0064672E" w:rsidRPr="002C7F35">
        <w:rPr>
          <w:b/>
        </w:rPr>
        <w:t>à la fois</w:t>
      </w:r>
    </w:p>
    <w:p w:rsidR="0064672E" w:rsidRDefault="0064672E" w:rsidP="009679A3">
      <w:pPr>
        <w:pStyle w:val="Paragraphedeliste"/>
        <w:numPr>
          <w:ilvl w:val="0"/>
          <w:numId w:val="1"/>
        </w:numPr>
        <w:spacing w:after="60"/>
        <w:ind w:left="567" w:hanging="283"/>
        <w:contextualSpacing w:val="0"/>
        <w:jc w:val="both"/>
      </w:pPr>
      <w:r>
        <w:t xml:space="preserve">l’émission </w:t>
      </w:r>
      <w:r w:rsidR="005260F7">
        <w:t xml:space="preserve">en 2015 </w:t>
      </w:r>
      <w:r>
        <w:t>de titres subordonnés à durée indéterminée (5,</w:t>
      </w:r>
      <w:r w:rsidR="00566C82">
        <w:t>0</w:t>
      </w:r>
      <w:r>
        <w:t xml:space="preserve"> G</w:t>
      </w:r>
      <w:r w:rsidR="00566C82">
        <w:t>€</w:t>
      </w:r>
      <w:r>
        <w:t>)</w:t>
      </w:r>
      <w:r w:rsidR="005260F7">
        <w:t xml:space="preserve"> et l’augmentation de leur rémunération en année pleine (autour de 180 M€) par rapport à celle de 2015 (114</w:t>
      </w:r>
      <w:r w:rsidR="00087A6F">
        <w:t> </w:t>
      </w:r>
      <w:r w:rsidR="005260F7">
        <w:t>M</w:t>
      </w:r>
      <w:r w:rsidR="00087A6F">
        <w:t>$</w:t>
      </w:r>
      <w:r w:rsidR="005260F7">
        <w:t>)</w:t>
      </w:r>
      <w:r w:rsidR="00C30050">
        <w:t xml:space="preserve"> – sauf à ce que TOTAL S.A. poursuive ces émissions</w:t>
      </w:r>
      <w:r w:rsidR="009679A3">
        <w:t xml:space="preserve"> de titres, apparemment moins onéreuses</w:t>
      </w:r>
      <w:r w:rsidR="008B4A79">
        <w:t xml:space="preserve"> </w:t>
      </w:r>
      <w:r w:rsidR="009679A3">
        <w:t xml:space="preserve">que celles d’actions </w:t>
      </w:r>
      <w:r w:rsidR="001A4D8D">
        <w:t>-</w:t>
      </w:r>
      <w:r w:rsidR="00087A6F">
        <w:t xml:space="preserve"> et </w:t>
      </w:r>
      <w:r w:rsidR="001A4D8D">
        <w:t>l’</w:t>
      </w:r>
      <w:r w:rsidR="00087A6F">
        <w:t xml:space="preserve">augmentation de capital réservée aux salariés </w:t>
      </w:r>
      <w:r w:rsidR="001A4D8D">
        <w:t>de</w:t>
      </w:r>
      <w:r w:rsidR="00087A6F">
        <w:t xml:space="preserve"> 2015 (0,4 </w:t>
      </w:r>
      <w:r w:rsidR="006034BD">
        <w:t>G</w:t>
      </w:r>
      <w:r w:rsidR="00087A6F">
        <w:t>€),</w:t>
      </w:r>
    </w:p>
    <w:p w:rsidR="0064672E" w:rsidRDefault="0064672E" w:rsidP="009679A3">
      <w:pPr>
        <w:pStyle w:val="Paragraphedeliste"/>
        <w:numPr>
          <w:ilvl w:val="0"/>
          <w:numId w:val="1"/>
        </w:numPr>
        <w:spacing w:after="60"/>
        <w:ind w:left="567" w:hanging="283"/>
        <w:contextualSpacing w:val="0"/>
        <w:jc w:val="both"/>
      </w:pPr>
      <w:r>
        <w:t>l</w:t>
      </w:r>
      <w:r w:rsidR="00087A6F">
        <w:t>a</w:t>
      </w:r>
      <w:r>
        <w:t xml:space="preserve"> réduction </w:t>
      </w:r>
      <w:r w:rsidR="00AE0447">
        <w:t xml:space="preserve">temporaire </w:t>
      </w:r>
      <w:r>
        <w:t xml:space="preserve">de besoin </w:t>
      </w:r>
      <w:r w:rsidR="00C4346A">
        <w:t>de trésorerie</w:t>
      </w:r>
      <w:r>
        <w:t xml:space="preserve"> </w:t>
      </w:r>
      <w:r w:rsidR="00AE0447">
        <w:t xml:space="preserve">au 31/12/2015 </w:t>
      </w:r>
      <w:r>
        <w:t xml:space="preserve">permise par le décalage </w:t>
      </w:r>
      <w:r w:rsidR="00087A6F">
        <w:t>de paiement du 2</w:t>
      </w:r>
      <w:r w:rsidR="009679A3" w:rsidRPr="009679A3">
        <w:rPr>
          <w:vertAlign w:val="superscript"/>
        </w:rPr>
        <w:t>e</w:t>
      </w:r>
      <w:r w:rsidR="009679A3">
        <w:t xml:space="preserve"> </w:t>
      </w:r>
      <w:r>
        <w:t>acompte sur dividende 2015</w:t>
      </w:r>
      <w:r w:rsidR="005260F7">
        <w:t xml:space="preserve"> (</w:t>
      </w:r>
      <w:r w:rsidR="00566C82">
        <w:t>0,</w:t>
      </w:r>
      <w:r w:rsidR="00087A6F">
        <w:t>9</w:t>
      </w:r>
      <w:r w:rsidR="005260F7">
        <w:t xml:space="preserve"> G€)</w:t>
      </w:r>
      <w:r w:rsidR="00475069">
        <w:rPr>
          <w:rStyle w:val="Appelnotedebasdep"/>
        </w:rPr>
        <w:footnoteReference w:id="3"/>
      </w:r>
      <w:r>
        <w:t>,</w:t>
      </w:r>
    </w:p>
    <w:p w:rsidR="005260F7" w:rsidRDefault="005260F7" w:rsidP="009679A3">
      <w:pPr>
        <w:pStyle w:val="Paragraphedeliste"/>
        <w:numPr>
          <w:ilvl w:val="0"/>
          <w:numId w:val="1"/>
        </w:numPr>
        <w:spacing w:after="60"/>
        <w:ind w:left="567" w:hanging="283"/>
        <w:contextualSpacing w:val="0"/>
        <w:jc w:val="both"/>
      </w:pPr>
      <w:r>
        <w:t xml:space="preserve">l’acceptabilité de l’émission d’actions nouvelles à chaque exercice d’option de dividende en actions (3,0 G€ de dividendes </w:t>
      </w:r>
      <w:r w:rsidR="00C30050">
        <w:t xml:space="preserve">annuels </w:t>
      </w:r>
      <w:r>
        <w:t xml:space="preserve">versés en actions </w:t>
      </w:r>
      <w:r w:rsidR="00C30050">
        <w:t>sous l’hypothèse d’un taux d’exercice de l’option dividende en actions pour le 3</w:t>
      </w:r>
      <w:r w:rsidR="00C30050" w:rsidRPr="005260F7">
        <w:rPr>
          <w:vertAlign w:val="superscript"/>
        </w:rPr>
        <w:t>e</w:t>
      </w:r>
      <w:r w:rsidR="00765F60">
        <w:t xml:space="preserve"> acompte 2015 égal</w:t>
      </w:r>
      <w:r w:rsidR="00C30050">
        <w:t xml:space="preserve"> à la moyenne de celui des trois options précédentes</w:t>
      </w:r>
      <w:r>
        <w:t xml:space="preserve">) et la rémunération </w:t>
      </w:r>
      <w:r w:rsidR="00C30050">
        <w:t xml:space="preserve">additionnelle </w:t>
      </w:r>
      <w:r>
        <w:t xml:space="preserve">qu’elle </w:t>
      </w:r>
      <w:r w:rsidR="00C30050">
        <w:t xml:space="preserve">génère à </w:t>
      </w:r>
      <w:r w:rsidR="00087A6F">
        <w:t xml:space="preserve">plus ou moins court </w:t>
      </w:r>
      <w:r w:rsidR="00C30050">
        <w:t>terme,</w:t>
      </w:r>
    </w:p>
    <w:p w:rsidR="0064672E" w:rsidRDefault="00C30050" w:rsidP="00E35B5E">
      <w:pPr>
        <w:jc w:val="both"/>
      </w:pPr>
      <w:proofErr w:type="gramStart"/>
      <w:r>
        <w:t>soit</w:t>
      </w:r>
      <w:proofErr w:type="gramEnd"/>
      <w:r>
        <w:t xml:space="preserve"> en</w:t>
      </w:r>
      <w:r w:rsidR="00566C82">
        <w:t>viron</w:t>
      </w:r>
      <w:r>
        <w:t xml:space="preserve"> </w:t>
      </w:r>
      <w:r w:rsidR="00087A6F">
        <w:t>9,4</w:t>
      </w:r>
      <w:r w:rsidR="00762431">
        <w:t xml:space="preserve"> G€ par an</w:t>
      </w:r>
      <w:r w:rsidR="00733E4E">
        <w:t xml:space="preserve"> en 2015</w:t>
      </w:r>
      <w:r w:rsidR="00762431">
        <w:t>.</w:t>
      </w:r>
    </w:p>
    <w:p w:rsidR="00C30050" w:rsidRDefault="00A4553E" w:rsidP="0043279E">
      <w:pPr>
        <w:spacing w:after="60"/>
        <w:jc w:val="both"/>
      </w:pPr>
      <w:r>
        <w:lastRenderedPageBreak/>
        <w:t>Or, l</w:t>
      </w:r>
      <w:r w:rsidR="00C30050">
        <w:t xml:space="preserve">e Groupe annonce </w:t>
      </w:r>
      <w:r w:rsidR="00C77A60">
        <w:t>pour</w:t>
      </w:r>
      <w:r w:rsidR="00C30050">
        <w:t xml:space="preserve"> 2016</w:t>
      </w:r>
    </w:p>
    <w:p w:rsidR="00C30050" w:rsidRDefault="00C77A60" w:rsidP="0043279E">
      <w:pPr>
        <w:pStyle w:val="Paragraphedeliste"/>
        <w:numPr>
          <w:ilvl w:val="0"/>
          <w:numId w:val="1"/>
        </w:numPr>
        <w:spacing w:after="60"/>
        <w:ind w:left="567" w:hanging="283"/>
        <w:contextualSpacing w:val="0"/>
        <w:jc w:val="both"/>
      </w:pPr>
      <w:r>
        <w:t>une baisse par rapport à 2015 de ses investissements de 9 G$ (</w:t>
      </w:r>
      <w:r w:rsidR="006034BD">
        <w:t xml:space="preserve">entre </w:t>
      </w:r>
      <w:r>
        <w:t xml:space="preserve">9 </w:t>
      </w:r>
      <w:r w:rsidR="006034BD">
        <w:t>et</w:t>
      </w:r>
      <w:r>
        <w:t xml:space="preserve"> 11 G$ pour 2017)</w:t>
      </w:r>
      <w:r w:rsidR="00566C82">
        <w:t>,</w:t>
      </w:r>
    </w:p>
    <w:p w:rsidR="00C77A60" w:rsidRDefault="00C77A60" w:rsidP="0043279E">
      <w:pPr>
        <w:pStyle w:val="Paragraphedeliste"/>
        <w:numPr>
          <w:ilvl w:val="0"/>
          <w:numId w:val="1"/>
        </w:numPr>
        <w:spacing w:after="60"/>
        <w:ind w:left="567" w:hanging="283"/>
        <w:contextualSpacing w:val="0"/>
        <w:jc w:val="both"/>
      </w:pPr>
      <w:r>
        <w:t>une réduction par rapport à 2015 de ses coûts opératoires de 2,4 G$ (3 G$ pour 2017),</w:t>
      </w:r>
    </w:p>
    <w:p w:rsidR="00C77A60" w:rsidRDefault="00C77A60" w:rsidP="0043279E">
      <w:pPr>
        <w:pStyle w:val="Paragraphedeliste"/>
        <w:numPr>
          <w:ilvl w:val="0"/>
          <w:numId w:val="1"/>
        </w:numPr>
        <w:spacing w:after="60"/>
        <w:ind w:left="567" w:hanging="283"/>
        <w:contextualSpacing w:val="0"/>
        <w:jc w:val="both"/>
      </w:pPr>
      <w:r>
        <w:t>un niveau de cession d’actifs stable par rapport à 2015</w:t>
      </w:r>
      <w:r w:rsidR="00A4553E">
        <w:t>,</w:t>
      </w:r>
    </w:p>
    <w:p w:rsidR="00A4553E" w:rsidRDefault="00A4553E" w:rsidP="0043279E">
      <w:pPr>
        <w:pStyle w:val="Paragraphedeliste"/>
        <w:numPr>
          <w:ilvl w:val="0"/>
          <w:numId w:val="1"/>
        </w:numPr>
        <w:spacing w:after="60"/>
        <w:ind w:left="567" w:hanging="283"/>
        <w:contextualSpacing w:val="0"/>
        <w:jc w:val="both"/>
      </w:pPr>
      <w:r>
        <w:t>une baisse de 2 G$ du flux de trésorerie d’exploitation pour une baisse de 10 $/b de cours de Brent par rapport à un scénario de base de 50 $/b (proche de celui de 2015 52,4 $/b),</w:t>
      </w:r>
    </w:p>
    <w:p w:rsidR="00A4553E" w:rsidRDefault="00A4553E" w:rsidP="00EC23CB">
      <w:pPr>
        <w:jc w:val="both"/>
      </w:pPr>
      <w:proofErr w:type="gramStart"/>
      <w:r>
        <w:t>soit</w:t>
      </w:r>
      <w:proofErr w:type="gramEnd"/>
      <w:r w:rsidR="00566C82">
        <w:t>,</w:t>
      </w:r>
      <w:r>
        <w:t xml:space="preserve"> pour un cours du Brent à 35 $/b</w:t>
      </w:r>
      <w:r w:rsidR="00733E4E">
        <w:t xml:space="preserve"> (respectivement 40 $/b)</w:t>
      </w:r>
      <w:r>
        <w:t xml:space="preserve">, un flux </w:t>
      </w:r>
      <w:r w:rsidR="00733E4E">
        <w:t xml:space="preserve">net </w:t>
      </w:r>
      <w:r>
        <w:t xml:space="preserve">de trésorerie d’exploitation et d’investissement </w:t>
      </w:r>
      <w:r w:rsidR="00EC149D">
        <w:t>amélioré</w:t>
      </w:r>
      <w:r>
        <w:t xml:space="preserve"> en 2016 d’environ 8,4 G$</w:t>
      </w:r>
      <w:r w:rsidR="00566C82">
        <w:t xml:space="preserve"> </w:t>
      </w:r>
      <w:r w:rsidR="00733E4E">
        <w:t xml:space="preserve">(respectivement 9,4 G$) </w:t>
      </w:r>
      <w:r w:rsidR="00566C82">
        <w:t xml:space="preserve">par rapport à </w:t>
      </w:r>
      <w:r w:rsidR="006034BD">
        <w:t xml:space="preserve">celui de </w:t>
      </w:r>
      <w:r w:rsidR="00566C82">
        <w:t>2015</w:t>
      </w:r>
      <w:r>
        <w:t>.</w:t>
      </w:r>
    </w:p>
    <w:p w:rsidR="00566C82" w:rsidRDefault="00733E4E" w:rsidP="00EC23CB">
      <w:pPr>
        <w:jc w:val="both"/>
      </w:pPr>
      <w:r>
        <w:t xml:space="preserve">Au vu de la situation </w:t>
      </w:r>
      <w:r w:rsidR="00EC23CB">
        <w:t xml:space="preserve">déjà </w:t>
      </w:r>
      <w:r w:rsidR="005E01B9">
        <w:t xml:space="preserve">tendue </w:t>
      </w:r>
      <w:r>
        <w:t xml:space="preserve">du flux </w:t>
      </w:r>
      <w:r w:rsidR="005E01B9">
        <w:t xml:space="preserve">net </w:t>
      </w:r>
      <w:r>
        <w:t>de trésorerie consolidé de 2015, o</w:t>
      </w:r>
      <w:r w:rsidR="00566C82">
        <w:t xml:space="preserve">n perçoit là, </w:t>
      </w:r>
      <w:r w:rsidR="00634302">
        <w:t>le besoin</w:t>
      </w:r>
      <w:r w:rsidR="00566C82">
        <w:t xml:space="preserve"> pour la Société de </w:t>
      </w:r>
      <w:r w:rsidR="00634302">
        <w:t xml:space="preserve">faire appel </w:t>
      </w:r>
      <w:r w:rsidR="00566C82">
        <w:t xml:space="preserve">à court terme </w:t>
      </w:r>
      <w:r w:rsidR="00634302">
        <w:t>au</w:t>
      </w:r>
      <w:r w:rsidR="00566C82">
        <w:t xml:space="preserve"> dividende en action</w:t>
      </w:r>
      <w:r w:rsidR="00A369E4">
        <w:t>s</w:t>
      </w:r>
      <w:r w:rsidR="00566C82">
        <w:t xml:space="preserve"> si elle veut en maintenir le niveau apparent à 2,44 € par action, même si ce dividende en action</w:t>
      </w:r>
      <w:r w:rsidR="00A369E4">
        <w:t>s</w:t>
      </w:r>
      <w:r w:rsidR="00566C82">
        <w:t xml:space="preserve"> – dont </w:t>
      </w:r>
      <w:r w:rsidR="00EC23CB">
        <w:t>l’effet sur le financement de la Société</w:t>
      </w:r>
      <w:r w:rsidR="00566C82">
        <w:t xml:space="preserve"> est aléatoire – génère lui-même à terme des besoins accrus de rémunération des actionnaires.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07"/>
      </w:tblGrid>
      <w:tr w:rsidR="00470C46" w:rsidTr="00B11F05">
        <w:tc>
          <w:tcPr>
            <w:tcW w:w="5211" w:type="dxa"/>
            <w:vAlign w:val="center"/>
          </w:tcPr>
          <w:p w:rsidR="00470C46" w:rsidRDefault="00470C46" w:rsidP="00A369E4">
            <w:pPr>
              <w:spacing w:line="276" w:lineRule="auto"/>
              <w:jc w:val="both"/>
            </w:pPr>
            <w:r>
              <w:t>Ce calcul financier simple omet un point impo</w:t>
            </w:r>
            <w:r w:rsidR="00EC23CB">
              <w:t>rtant relatif à l’avenir. Dans l</w:t>
            </w:r>
            <w:r>
              <w:t>e scénario de baisse substantielle des investissements</w:t>
            </w:r>
            <w:r w:rsidR="008E2CB4">
              <w:t xml:space="preserve"> (~ 19 G$ en 2016)</w:t>
            </w:r>
            <w:r w:rsidR="00EC23CB">
              <w:t xml:space="preserve"> retenu par le Groupe</w:t>
            </w:r>
            <w:r>
              <w:t xml:space="preserve">, </w:t>
            </w:r>
            <w:r w:rsidRPr="002C7F35">
              <w:rPr>
                <w:b/>
              </w:rPr>
              <w:t xml:space="preserve">apparaît </w:t>
            </w:r>
            <w:r w:rsidR="00A369E4">
              <w:rPr>
                <w:b/>
              </w:rPr>
              <w:t>très faible</w:t>
            </w:r>
            <w:r w:rsidRPr="002C7F35">
              <w:rPr>
                <w:b/>
              </w:rPr>
              <w:t xml:space="preserve"> l’effort</w:t>
            </w:r>
            <w:r w:rsidR="008B4A79">
              <w:rPr>
                <w:b/>
              </w:rPr>
              <w:t xml:space="preserve"> </w:t>
            </w:r>
            <w:r w:rsidRPr="002C7F35">
              <w:rPr>
                <w:b/>
              </w:rPr>
              <w:t>de développement pérenne du Groupe, dans les énergies moins ou non carbonées (investissements</w:t>
            </w:r>
            <w:r w:rsidR="002C7F35">
              <w:t>,</w:t>
            </w:r>
            <w:r>
              <w:t xml:space="preserve"> recherche et développement). C’est non seulement en termes financiers qu’un dividende aussi généreux obère l’avenir mais également en termes d’innovation et d’adaptation à un environnement énergétique en profonde et rapide transformation.</w:t>
            </w:r>
          </w:p>
        </w:tc>
        <w:tc>
          <w:tcPr>
            <w:tcW w:w="4007" w:type="dxa"/>
          </w:tcPr>
          <w:p w:rsidR="00470C46" w:rsidRPr="008E2CB4" w:rsidRDefault="00470C46" w:rsidP="00470C46">
            <w:pPr>
              <w:spacing w:after="20"/>
              <w:jc w:val="center"/>
              <w:rPr>
                <w:b/>
              </w:rPr>
            </w:pPr>
            <w:r w:rsidRPr="008E2CB4">
              <w:rPr>
                <w:b/>
              </w:rPr>
              <w:t xml:space="preserve">Extrait de la présentation </w:t>
            </w:r>
            <w:proofErr w:type="spellStart"/>
            <w:r w:rsidRPr="008E2CB4">
              <w:rPr>
                <w:b/>
                <w:i/>
              </w:rPr>
              <w:t>Results</w:t>
            </w:r>
            <w:proofErr w:type="spellEnd"/>
            <w:r w:rsidRPr="008E2CB4">
              <w:rPr>
                <w:b/>
                <w:i/>
              </w:rPr>
              <w:t xml:space="preserve"> 2015 &amp; Outlook</w:t>
            </w:r>
            <w:r w:rsidRPr="008E2CB4">
              <w:rPr>
                <w:rStyle w:val="Appelnotedebasdep"/>
                <w:b/>
                <w:i/>
              </w:rPr>
              <w:footnoteReference w:id="4"/>
            </w:r>
            <w:r w:rsidRPr="008E2CB4">
              <w:rPr>
                <w:b/>
              </w:rPr>
              <w:t xml:space="preserve"> du 11 février 2016</w:t>
            </w:r>
          </w:p>
          <w:p w:rsidR="00470C46" w:rsidRDefault="00470C46" w:rsidP="008E2CB4">
            <w:pPr>
              <w:spacing w:after="60"/>
              <w:jc w:val="center"/>
            </w:pPr>
            <w:r w:rsidRPr="00470C46">
              <w:rPr>
                <w:noProof/>
                <w:lang w:eastAsia="fr-FR"/>
              </w:rPr>
              <w:drawing>
                <wp:inline distT="0" distB="0" distL="0" distR="0">
                  <wp:extent cx="2350439" cy="184557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56082" cy="1850007"/>
                          </a:xfrm>
                          <a:prstGeom prst="rect">
                            <a:avLst/>
                          </a:prstGeom>
                          <a:noFill/>
                          <a:ln w="9525">
                            <a:noFill/>
                            <a:miter lim="800000"/>
                            <a:headEnd/>
                            <a:tailEnd/>
                          </a:ln>
                        </pic:spPr>
                      </pic:pic>
                    </a:graphicData>
                  </a:graphic>
                </wp:inline>
              </w:drawing>
            </w:r>
          </w:p>
        </w:tc>
      </w:tr>
    </w:tbl>
    <w:p w:rsidR="00F1234D" w:rsidRDefault="00F1234D" w:rsidP="00EC23CB">
      <w:pPr>
        <w:spacing w:before="200" w:after="0"/>
        <w:jc w:val="both"/>
      </w:pPr>
      <w:r>
        <w:t>E</w:t>
      </w:r>
      <w:r w:rsidR="009B3853">
        <w:t xml:space="preserve">st désormais </w:t>
      </w:r>
      <w:r>
        <w:t xml:space="preserve">également </w:t>
      </w:r>
      <w:r w:rsidR="009B3853">
        <w:t>posée</w:t>
      </w:r>
      <w:r w:rsidR="00D273BB">
        <w:t xml:space="preserve"> la pertinence d’une politique </w:t>
      </w:r>
      <w:r w:rsidR="009B3853">
        <w:t xml:space="preserve">conséquente </w:t>
      </w:r>
      <w:r w:rsidR="00D273BB">
        <w:t xml:space="preserve">de cessions, engagée depuis plusieurs années et </w:t>
      </w:r>
      <w:r w:rsidR="00E35B5E">
        <w:t xml:space="preserve">portant </w:t>
      </w:r>
      <w:r w:rsidR="00D273BB">
        <w:t xml:space="preserve">sur des actifs </w:t>
      </w:r>
      <w:r w:rsidR="00765F60">
        <w:t xml:space="preserve">prioritairement </w:t>
      </w:r>
      <w:r w:rsidR="009B3853">
        <w:t>autres qu’Amont</w:t>
      </w:r>
      <w:r w:rsidR="00765F60">
        <w:rPr>
          <w:rStyle w:val="Appelnotedebasdep"/>
        </w:rPr>
        <w:footnoteReference w:id="5"/>
      </w:r>
      <w:r w:rsidR="00D273BB">
        <w:t>.</w:t>
      </w:r>
      <w:r w:rsidR="009B3853">
        <w:t xml:space="preserve"> La vente des dernières activités de la chimie de spécialités</w:t>
      </w:r>
      <w:r w:rsidR="00814141">
        <w:t xml:space="preserve"> du Groupe</w:t>
      </w:r>
      <w:r w:rsidR="009B3853">
        <w:t xml:space="preserve">, à savoir Hutchinson et </w:t>
      </w:r>
      <w:proofErr w:type="spellStart"/>
      <w:r w:rsidR="009B3853">
        <w:t>Atotech</w:t>
      </w:r>
      <w:proofErr w:type="spellEnd"/>
      <w:r w:rsidR="00814141">
        <w:t>,</w:t>
      </w:r>
      <w:r w:rsidR="009B3853">
        <w:t xml:space="preserve"> est désormais publiquement envisagée comme un moyen d’alimenter la trésorerie tendue du Groupe</w:t>
      </w:r>
      <w:r>
        <w:rPr>
          <w:rStyle w:val="Appelnotedebasdep"/>
        </w:rPr>
        <w:footnoteReference w:id="6"/>
      </w:r>
      <w:r w:rsidR="009B3853">
        <w:t>.</w:t>
      </w:r>
    </w:p>
    <w:p w:rsidR="00D273BB" w:rsidRDefault="00F1234D" w:rsidP="00814141">
      <w:pPr>
        <w:pStyle w:val="Paragraphedeliste"/>
        <w:numPr>
          <w:ilvl w:val="0"/>
          <w:numId w:val="1"/>
        </w:numPr>
        <w:spacing w:after="120"/>
        <w:ind w:left="568" w:hanging="284"/>
        <w:jc w:val="both"/>
      </w:pPr>
      <w:r>
        <w:t>Ou bien le cours du Brent est temporairement bas, auquel cas la cession d’actifs durablement rentables n</w:t>
      </w:r>
      <w:r w:rsidR="00814141">
        <w:t>e semble</w:t>
      </w:r>
      <w:r>
        <w:t xml:space="preserve"> pas </w:t>
      </w:r>
      <w:r w:rsidR="00814141">
        <w:t xml:space="preserve">être </w:t>
      </w:r>
      <w:r>
        <w:t>la politique la mieux adaptée à un enjeu de court terme.</w:t>
      </w:r>
    </w:p>
    <w:p w:rsidR="00F1234D" w:rsidRDefault="00F1234D" w:rsidP="00F1234D">
      <w:pPr>
        <w:pStyle w:val="Paragraphedeliste"/>
        <w:numPr>
          <w:ilvl w:val="0"/>
          <w:numId w:val="1"/>
        </w:numPr>
        <w:spacing w:before="60" w:after="120"/>
        <w:ind w:left="567" w:hanging="283"/>
        <w:jc w:val="both"/>
      </w:pPr>
      <w:r>
        <w:t>Ou bien le cours du Brent est durablement bas</w:t>
      </w:r>
      <w:r w:rsidR="00814141">
        <w:t>,</w:t>
      </w:r>
      <w:r>
        <w:t xml:space="preserve"> auquel cas des actifs diversifiés et rentables </w:t>
      </w:r>
      <w:r w:rsidR="00A369E4">
        <w:t>constitu</w:t>
      </w:r>
      <w:r>
        <w:t xml:space="preserve">ent </w:t>
      </w:r>
      <w:r w:rsidR="00A369E4">
        <w:t>un atout face</w:t>
      </w:r>
      <w:r>
        <w:t xml:space="preserve"> à un environnement </w:t>
      </w:r>
      <w:r w:rsidR="0064007C">
        <w:t xml:space="preserve">énergétique </w:t>
      </w:r>
      <w:r>
        <w:t>en profonde évolution.</w:t>
      </w:r>
    </w:p>
    <w:p w:rsidR="00F1234D" w:rsidRDefault="00F1234D" w:rsidP="00EC23CB">
      <w:pPr>
        <w:spacing w:before="200"/>
        <w:jc w:val="both"/>
      </w:pPr>
      <w:r>
        <w:t xml:space="preserve">Certes, aucune des majors </w:t>
      </w:r>
      <w:proofErr w:type="gramStart"/>
      <w:r>
        <w:t>pétrolières</w:t>
      </w:r>
      <w:proofErr w:type="gramEnd"/>
      <w:r>
        <w:t xml:space="preserve"> ne souhaite annoncer, à la suite d’ENI </w:t>
      </w:r>
      <w:proofErr w:type="spellStart"/>
      <w:r>
        <w:t>S</w:t>
      </w:r>
      <w:r w:rsidR="00BA3061">
        <w:t>.</w:t>
      </w:r>
      <w:r>
        <w:t>p</w:t>
      </w:r>
      <w:r w:rsidR="00BA3061">
        <w:t>.</w:t>
      </w:r>
      <w:r>
        <w:t>A</w:t>
      </w:r>
      <w:proofErr w:type="spellEnd"/>
      <w:r w:rsidR="00814141">
        <w:t xml:space="preserve"> et de </w:t>
      </w:r>
      <w:proofErr w:type="spellStart"/>
      <w:r w:rsidR="00814141">
        <w:t>ConocoPhillips</w:t>
      </w:r>
      <w:proofErr w:type="spellEnd"/>
      <w:r>
        <w:t xml:space="preserve">, une baisse de son dividende. </w:t>
      </w:r>
      <w:r w:rsidR="00814141">
        <w:t xml:space="preserve">La forte baisse du cours du Brent les a déjà conduites à être mises sous observation par les agences de rating pour certaines, ou ont, comme TOTAL S.A., vu </w:t>
      </w:r>
      <w:r w:rsidR="00814141">
        <w:lastRenderedPageBreak/>
        <w:t>leur perspective diminuer (</w:t>
      </w:r>
      <w:proofErr w:type="spellStart"/>
      <w:r w:rsidR="00814141">
        <w:t>Fitch</w:t>
      </w:r>
      <w:proofErr w:type="spellEnd"/>
      <w:r w:rsidR="00814141">
        <w:t xml:space="preserve"> AA- négative le 3 mars 2016). </w:t>
      </w:r>
      <w:r w:rsidR="00BA3061">
        <w:t>Par ailleurs,</w:t>
      </w:r>
      <w:r w:rsidR="00814141">
        <w:t xml:space="preserve"> l</w:t>
      </w:r>
      <w:r>
        <w:t>es investisseurs semblent avoir une position contrastée</w:t>
      </w:r>
      <w:r w:rsidR="00BA3061">
        <w:t xml:space="preserve"> sur le niveau du dividende des majors </w:t>
      </w:r>
      <w:proofErr w:type="gramStart"/>
      <w:r w:rsidR="00BA3061">
        <w:t>pétrolières</w:t>
      </w:r>
      <w:proofErr w:type="gramEnd"/>
      <w:r>
        <w:rPr>
          <w:rStyle w:val="Appelnotedebasdep"/>
        </w:rPr>
        <w:footnoteReference w:id="7"/>
      </w:r>
      <w:r>
        <w:t xml:space="preserve">. </w:t>
      </w:r>
    </w:p>
    <w:p w:rsidR="00164137" w:rsidRDefault="001132D3" w:rsidP="00EC23CB">
      <w:pPr>
        <w:jc w:val="both"/>
      </w:pPr>
      <w:r>
        <w:t>Enfin, l</w:t>
      </w:r>
      <w:r w:rsidR="00164137">
        <w:t xml:space="preserve">es rendements </w:t>
      </w:r>
      <w:r w:rsidR="00C0615B">
        <w:t xml:space="preserve">élevés </w:t>
      </w:r>
      <w:r w:rsidR="00164137">
        <w:t>des dividendes des compa</w:t>
      </w:r>
      <w:r w:rsidR="00C0615B">
        <w:t xml:space="preserve">gnies pétrolières </w:t>
      </w:r>
      <w:r w:rsidR="00A369E4">
        <w:t xml:space="preserve">le sont d’autant plus comparés </w:t>
      </w:r>
      <w:r w:rsidR="00164137">
        <w:t xml:space="preserve">au </w:t>
      </w:r>
      <w:r w:rsidR="00164137" w:rsidRPr="002C7F35">
        <w:rPr>
          <w:b/>
        </w:rPr>
        <w:t>niveau très bas du rendement sans risque des obligations souveraines</w:t>
      </w:r>
      <w:r w:rsidR="00164137">
        <w:t xml:space="preserve">. </w:t>
      </w:r>
    </w:p>
    <w:p w:rsidR="00E51D4C" w:rsidRDefault="00E412FB" w:rsidP="00EC23CB">
      <w:pPr>
        <w:jc w:val="both"/>
      </w:pPr>
      <w:r>
        <w:t xml:space="preserve">Ces éléments pris en compte, la </w:t>
      </w:r>
      <w:r w:rsidR="009679A3">
        <w:t xml:space="preserve">présente </w:t>
      </w:r>
      <w:r>
        <w:t xml:space="preserve">résolution propose </w:t>
      </w:r>
      <w:r w:rsidRPr="002C7F35">
        <w:rPr>
          <w:b/>
        </w:rPr>
        <w:t>un dividende 2015 par action de 2,04 € par action</w:t>
      </w:r>
      <w:r w:rsidR="00F22DBB" w:rsidRPr="002C7F35">
        <w:rPr>
          <w:rStyle w:val="Appelnotedebasdep"/>
          <w:b/>
        </w:rPr>
        <w:footnoteReference w:id="8"/>
      </w:r>
      <w:r w:rsidRPr="002C7F35">
        <w:rPr>
          <w:b/>
        </w:rPr>
        <w:t>, soit une baisse de 16</w:t>
      </w:r>
      <w:r w:rsidR="00F22DBB" w:rsidRPr="002C7F35">
        <w:rPr>
          <w:b/>
        </w:rPr>
        <w:t>,4</w:t>
      </w:r>
      <w:r w:rsidRPr="002C7F35">
        <w:rPr>
          <w:b/>
        </w:rPr>
        <w:t xml:space="preserve"> %</w:t>
      </w:r>
      <w:r>
        <w:t xml:space="preserve"> par rapport au montant reconduit </w:t>
      </w:r>
      <w:r w:rsidR="00F22DBB">
        <w:t xml:space="preserve">pour 2015 </w:t>
      </w:r>
      <w:r>
        <w:t>par le Conseil d’administration. Ceci correspond à une réduction des dividendes attribués d’1,</w:t>
      </w:r>
      <w:r w:rsidR="00AE0447">
        <w:t>0</w:t>
      </w:r>
      <w:r w:rsidR="003A4A2C">
        <w:t>0</w:t>
      </w:r>
      <w:r>
        <w:t xml:space="preserve"> G€. Malgré les limites</w:t>
      </w:r>
      <w:r w:rsidR="00F22DBB">
        <w:t>, les aléas</w:t>
      </w:r>
      <w:r>
        <w:t xml:space="preserve"> et </w:t>
      </w:r>
      <w:r w:rsidR="00F22DBB">
        <w:t xml:space="preserve">les </w:t>
      </w:r>
      <w:r>
        <w:t>écueils à terme du dividende en actions</w:t>
      </w:r>
      <w:r w:rsidR="00F22DBB">
        <w:t>, la résolution propose le maintien de son principe pour le solde du dividende en 2015.</w:t>
      </w:r>
    </w:p>
    <w:p w:rsidR="0043279E" w:rsidRPr="00B11F05" w:rsidRDefault="0043279E" w:rsidP="00EC23CB">
      <w:pPr>
        <w:jc w:val="both"/>
        <w:rPr>
          <w:i/>
        </w:rPr>
      </w:pPr>
      <w:r>
        <w:t>Dans le cas où le cours du Brent serait plus élevé que celui ici envisagé ou le taux d’exercice de l’option du dividende en actions serait élevé, l’allègement ainsi permis de la contrainte sur la trésorerie du Groupe permettrait</w:t>
      </w:r>
      <w:r w:rsidRPr="0043279E">
        <w:t xml:space="preserve"> </w:t>
      </w:r>
      <w:r>
        <w:t xml:space="preserve">à TOTAL S.A., le cas échéant, de </w:t>
      </w:r>
      <w:r w:rsidRPr="002C7F35">
        <w:rPr>
          <w:b/>
        </w:rPr>
        <w:t>racheter sur le marché une partie des actions ainsi créées depuis l’attribution du solde du dividende 2014</w:t>
      </w:r>
      <w:r w:rsidR="008E2CB4">
        <w:t xml:space="preserve">, rachat permis par la </w:t>
      </w:r>
      <w:r w:rsidR="00B11F05" w:rsidRPr="00EC149D">
        <w:t>cinqu</w:t>
      </w:r>
      <w:r w:rsidR="008E2CB4" w:rsidRPr="00EC149D">
        <w:t>ième résolution proposée à la présente Assemblée générale</w:t>
      </w:r>
      <w:r>
        <w:t xml:space="preserve">. </w:t>
      </w:r>
    </w:p>
    <w:p w:rsidR="00E34876" w:rsidRDefault="009679A3" w:rsidP="00EC23CB">
      <w:pPr>
        <w:jc w:val="both"/>
        <w:rPr>
          <w:strike/>
          <w:highlight w:val="yellow"/>
        </w:rPr>
      </w:pPr>
      <w:r>
        <w:t>Enfin, l</w:t>
      </w:r>
      <w:r w:rsidR="00171828">
        <w:t>es promoteurs de la présente résolution craignent qu’à l’instar de sociétés du CAC40 sur un thème identique (</w:t>
      </w:r>
      <w:proofErr w:type="spellStart"/>
      <w:r w:rsidR="00171828">
        <w:t>Engie</w:t>
      </w:r>
      <w:proofErr w:type="spellEnd"/>
      <w:r w:rsidR="00171828">
        <w:t xml:space="preserve"> </w:t>
      </w:r>
      <w:r w:rsidR="000D521C">
        <w:t>ex-</w:t>
      </w:r>
      <w:proofErr w:type="spellStart"/>
      <w:r w:rsidR="000E29DF">
        <w:t>GdFSuez</w:t>
      </w:r>
      <w:proofErr w:type="spellEnd"/>
      <w:r w:rsidR="000E29DF">
        <w:t xml:space="preserve"> en 2012</w:t>
      </w:r>
      <w:r w:rsidR="00171828">
        <w:t>), cette résolution</w:t>
      </w:r>
      <w:r w:rsidR="000D521C">
        <w:t>, bien qu’inscrite à l’ordre du jour,</w:t>
      </w:r>
      <w:r w:rsidR="00171828">
        <w:t xml:space="preserve"> ne soit pas mise aux voix sous </w:t>
      </w:r>
      <w:r w:rsidR="008A1DD2">
        <w:t xml:space="preserve">le </w:t>
      </w:r>
      <w:r w:rsidR="00171828">
        <w:t xml:space="preserve">prétexte que la résolution </w:t>
      </w:r>
      <w:r>
        <w:t xml:space="preserve">d’affectation du bénéfice </w:t>
      </w:r>
      <w:r w:rsidR="00EC23CB">
        <w:t xml:space="preserve">issue du </w:t>
      </w:r>
      <w:r w:rsidR="00171828">
        <w:t xml:space="preserve">Conseil d’administration aurait obtenu la majorité des voix. </w:t>
      </w:r>
      <w:r w:rsidR="00EC23CB">
        <w:t>Précisons cependant</w:t>
      </w:r>
      <w:r w:rsidR="00171828">
        <w:t xml:space="preserve"> qu’</w:t>
      </w:r>
      <w:r w:rsidR="00B621C9">
        <w:t xml:space="preserve">en 2003, </w:t>
      </w:r>
      <w:r w:rsidR="000E29DF">
        <w:t xml:space="preserve">Unibail Holding </w:t>
      </w:r>
      <w:r w:rsidR="00EC23CB">
        <w:t>(devenue depuis Unibail-</w:t>
      </w:r>
      <w:proofErr w:type="spellStart"/>
      <w:r w:rsidR="00EC23CB">
        <w:t>Rodamco</w:t>
      </w:r>
      <w:proofErr w:type="spellEnd"/>
      <w:r w:rsidR="00EC23CB">
        <w:t xml:space="preserve">) </w:t>
      </w:r>
      <w:r w:rsidR="00262D7E">
        <w:t xml:space="preserve">d’une part </w:t>
      </w:r>
      <w:r w:rsidR="000E29DF">
        <w:t xml:space="preserve">et </w:t>
      </w:r>
      <w:r w:rsidR="00B621C9">
        <w:t xml:space="preserve">en 2015, </w:t>
      </w:r>
      <w:proofErr w:type="spellStart"/>
      <w:r w:rsidR="00171828">
        <w:t>EdF</w:t>
      </w:r>
      <w:proofErr w:type="spellEnd"/>
      <w:r w:rsidR="00171828">
        <w:t xml:space="preserve"> </w:t>
      </w:r>
      <w:r w:rsidR="000E29DF">
        <w:t xml:space="preserve">et Orange </w:t>
      </w:r>
      <w:r w:rsidR="00262D7E">
        <w:t xml:space="preserve">d’autre part </w:t>
      </w:r>
      <w:r w:rsidR="00A13FE2">
        <w:t>ont</w:t>
      </w:r>
      <w:r w:rsidR="00171828">
        <w:t xml:space="preserve"> mis aux voix une telle résolution alternative à celle proposée par </w:t>
      </w:r>
      <w:r w:rsidR="00A13FE2">
        <w:t>leur</w:t>
      </w:r>
      <w:r w:rsidR="00EC23CB">
        <w:t xml:space="preserve"> conseil d’administration.</w:t>
      </w:r>
    </w:p>
    <w:p w:rsidR="00EC23CB" w:rsidRDefault="00EC23CB" w:rsidP="008A1DD2">
      <w:pPr>
        <w:rPr>
          <w:b/>
        </w:rPr>
      </w:pPr>
    </w:p>
    <w:p w:rsidR="000E29DF" w:rsidRPr="00E34876" w:rsidRDefault="000E29DF" w:rsidP="008A1DD2">
      <w:pPr>
        <w:rPr>
          <w:strike/>
          <w:highlight w:val="yellow"/>
        </w:rPr>
      </w:pPr>
      <w:r w:rsidRPr="000E29DF">
        <w:rPr>
          <w:b/>
        </w:rPr>
        <w:t xml:space="preserve">Amendement à la </w:t>
      </w:r>
      <w:r w:rsidRPr="00EC149D">
        <w:rPr>
          <w:b/>
        </w:rPr>
        <w:t>troisième</w:t>
      </w:r>
      <w:r w:rsidRPr="000E29DF">
        <w:rPr>
          <w:b/>
        </w:rPr>
        <w:t xml:space="preserve"> résolution :</w:t>
      </w:r>
      <w:r>
        <w:t xml:space="preserve"> </w:t>
      </w:r>
      <w:r>
        <w:rPr>
          <w:b/>
        </w:rPr>
        <w:t>a</w:t>
      </w:r>
      <w:r w:rsidRPr="003E4BD1">
        <w:rPr>
          <w:b/>
        </w:rPr>
        <w:t>ffectation du bénéfice, fixation du dividende, option du paiement du solde du dividende de l’exercice 2015 en actions</w:t>
      </w:r>
    </w:p>
    <w:p w:rsidR="000E29DF" w:rsidRPr="00E721E5" w:rsidRDefault="000E29DF" w:rsidP="00E721E5">
      <w:pPr>
        <w:jc w:val="both"/>
        <w:rPr>
          <w:i/>
        </w:rPr>
      </w:pPr>
      <w:r w:rsidRPr="000E29DF">
        <w:rPr>
          <w:i/>
        </w:rPr>
        <w:t>Compte tenu d</w:t>
      </w:r>
      <w:r w:rsidR="005D361E">
        <w:rPr>
          <w:i/>
        </w:rPr>
        <w:t>es</w:t>
      </w:r>
      <w:r w:rsidRPr="000E29DF">
        <w:rPr>
          <w:i/>
        </w:rPr>
        <w:t xml:space="preserve"> résultat</w:t>
      </w:r>
      <w:r w:rsidR="005D361E">
        <w:rPr>
          <w:i/>
        </w:rPr>
        <w:t>s</w:t>
      </w:r>
      <w:r w:rsidR="00BA3061">
        <w:rPr>
          <w:i/>
        </w:rPr>
        <w:t>,</w:t>
      </w:r>
      <w:r w:rsidR="00245E34">
        <w:rPr>
          <w:i/>
        </w:rPr>
        <w:t xml:space="preserve"> d</w:t>
      </w:r>
      <w:r w:rsidR="005D361E">
        <w:rPr>
          <w:i/>
        </w:rPr>
        <w:t>es</w:t>
      </w:r>
      <w:r w:rsidR="00245E34">
        <w:rPr>
          <w:i/>
        </w:rPr>
        <w:t xml:space="preserve"> flux net</w:t>
      </w:r>
      <w:r w:rsidR="005D361E">
        <w:rPr>
          <w:i/>
        </w:rPr>
        <w:t>s</w:t>
      </w:r>
      <w:r w:rsidR="00245E34">
        <w:rPr>
          <w:i/>
        </w:rPr>
        <w:t xml:space="preserve"> de trésorerie</w:t>
      </w:r>
      <w:r w:rsidR="00EC23CB">
        <w:rPr>
          <w:i/>
        </w:rPr>
        <w:t xml:space="preserve"> d’exploitation et d’investissement du Groupe </w:t>
      </w:r>
      <w:r w:rsidR="005D361E">
        <w:rPr>
          <w:i/>
        </w:rPr>
        <w:t xml:space="preserve">ces dernières années </w:t>
      </w:r>
      <w:r w:rsidR="00EC23CB">
        <w:rPr>
          <w:i/>
        </w:rPr>
        <w:t>et</w:t>
      </w:r>
      <w:r w:rsidR="00BA3061">
        <w:rPr>
          <w:i/>
        </w:rPr>
        <w:t xml:space="preserve"> de la baisse des cours du Brent sur une durée i</w:t>
      </w:r>
      <w:r w:rsidR="00A369E4">
        <w:rPr>
          <w:i/>
        </w:rPr>
        <w:t>ndéterminé</w:t>
      </w:r>
      <w:r w:rsidR="00BA3061">
        <w:rPr>
          <w:i/>
        </w:rPr>
        <w:t>e,</w:t>
      </w:r>
      <w:r w:rsidR="00EC23CB">
        <w:rPr>
          <w:i/>
        </w:rPr>
        <w:t xml:space="preserve"> </w:t>
      </w:r>
      <w:r w:rsidRPr="000E29DF">
        <w:rPr>
          <w:i/>
        </w:rPr>
        <w:t xml:space="preserve">et afin de </w:t>
      </w:r>
      <w:r w:rsidR="005E01B9">
        <w:rPr>
          <w:i/>
        </w:rPr>
        <w:t>dispos</w:t>
      </w:r>
      <w:r w:rsidRPr="000E29DF">
        <w:rPr>
          <w:i/>
        </w:rPr>
        <w:t xml:space="preserve">er </w:t>
      </w:r>
      <w:r w:rsidR="005E01B9">
        <w:rPr>
          <w:i/>
        </w:rPr>
        <w:t>de</w:t>
      </w:r>
      <w:r w:rsidRPr="000E29DF">
        <w:rPr>
          <w:i/>
        </w:rPr>
        <w:t xml:space="preserve"> marges de manœuvre en termes d’investissements</w:t>
      </w:r>
      <w:r w:rsidR="00BA3061">
        <w:rPr>
          <w:i/>
        </w:rPr>
        <w:t xml:space="preserve"> dans un secteur énergétique </w:t>
      </w:r>
      <w:r w:rsidR="005D361E">
        <w:rPr>
          <w:i/>
        </w:rPr>
        <w:t xml:space="preserve">en profonde évolution, il est proposé de </w:t>
      </w:r>
      <w:r w:rsidRPr="000E29DF">
        <w:rPr>
          <w:i/>
        </w:rPr>
        <w:t xml:space="preserve">réduire le montant du dividende </w:t>
      </w:r>
      <w:r w:rsidR="005D361E">
        <w:rPr>
          <w:i/>
        </w:rPr>
        <w:t>à 2,04 € par action</w:t>
      </w:r>
      <w:r w:rsidR="00E721E5">
        <w:rPr>
          <w:i/>
        </w:rPr>
        <w:t xml:space="preserve">, </w:t>
      </w:r>
      <w:r w:rsidR="00E721E5" w:rsidRPr="00E721E5">
        <w:rPr>
          <w:i/>
        </w:rPr>
        <w:t xml:space="preserve">soit le niveau qu’il avait en 2007 lorsque le cours du Brent </w:t>
      </w:r>
      <w:r w:rsidR="00BB75B2" w:rsidRPr="00BB75B2">
        <w:rPr>
          <w:i/>
        </w:rPr>
        <w:t>s’élevait</w:t>
      </w:r>
      <w:r w:rsidR="00E721E5" w:rsidRPr="00E721E5">
        <w:rPr>
          <w:i/>
        </w:rPr>
        <w:t xml:space="preserve"> à 72,4 $/b. </w:t>
      </w:r>
    </w:p>
    <w:p w:rsidR="000E29DF" w:rsidRDefault="000E29DF" w:rsidP="00B11F05">
      <w:pPr>
        <w:spacing w:after="120"/>
        <w:jc w:val="both"/>
      </w:pPr>
      <w:r>
        <w:t>L’Assemblée générale, statuant aux conditions de quorum et de majorité requises pour les Assemblées générales ordinaires</w:t>
      </w:r>
      <w:r w:rsidR="006052AE">
        <w:t xml:space="preserve">, adopte l’amendement suivant à la troisième résolution </w:t>
      </w:r>
      <w:r w:rsidR="00672ABB">
        <w:t xml:space="preserve">telle que </w:t>
      </w:r>
      <w:r w:rsidR="006052AE">
        <w:t>proposée par le Conseil d’administration.</w:t>
      </w:r>
    </w:p>
    <w:p w:rsidR="006052AE" w:rsidRDefault="006052AE" w:rsidP="00B11F05">
      <w:pPr>
        <w:spacing w:after="120"/>
        <w:jc w:val="both"/>
      </w:pPr>
      <w:r>
        <w:t>L’Assemblée générale</w:t>
      </w:r>
    </w:p>
    <w:p w:rsidR="000E29DF" w:rsidRDefault="000E29DF" w:rsidP="000E29DF">
      <w:pPr>
        <w:pStyle w:val="Paragraphedeliste"/>
        <w:numPr>
          <w:ilvl w:val="0"/>
          <w:numId w:val="2"/>
        </w:numPr>
        <w:spacing w:after="120"/>
        <w:jc w:val="both"/>
      </w:pPr>
      <w:r>
        <w:t xml:space="preserve">constate </w:t>
      </w:r>
      <w:r w:rsidR="006052AE">
        <w:t>l</w:t>
      </w:r>
      <w:r>
        <w:t>es niveau</w:t>
      </w:r>
      <w:r w:rsidR="00A13FE2">
        <w:t>x</w:t>
      </w:r>
      <w:r>
        <w:t xml:space="preserve"> </w:t>
      </w:r>
      <w:r w:rsidR="00A13FE2">
        <w:t xml:space="preserve">(a) </w:t>
      </w:r>
      <w:r>
        <w:t>du bénéfice de l'exercice 2015</w:t>
      </w:r>
      <w:r w:rsidR="00C4346A">
        <w:t xml:space="preserve"> à 11 066 893 359,68 </w:t>
      </w:r>
      <w:r w:rsidR="00E721E5">
        <w:t>euros</w:t>
      </w:r>
      <w:r w:rsidR="00A13FE2">
        <w:t>,</w:t>
      </w:r>
      <w:r>
        <w:t xml:space="preserve"> </w:t>
      </w:r>
      <w:r w:rsidR="00A13FE2">
        <w:t xml:space="preserve">(b) </w:t>
      </w:r>
      <w:r>
        <w:t xml:space="preserve">du report à nouveau </w:t>
      </w:r>
      <w:r w:rsidR="00C4346A">
        <w:t xml:space="preserve">disponible de 10 905 797 224,55 </w:t>
      </w:r>
      <w:r w:rsidR="00E721E5">
        <w:t>euros</w:t>
      </w:r>
      <w:r w:rsidR="00C4346A">
        <w:t xml:space="preserve">, (c) du bénéfice distribuable </w:t>
      </w:r>
      <w:r w:rsidR="006052AE">
        <w:t xml:space="preserve">à affecter à 21 972 690 584,23 </w:t>
      </w:r>
      <w:r w:rsidR="00E721E5">
        <w:t>euros</w:t>
      </w:r>
      <w:r w:rsidR="006052AE">
        <w:t xml:space="preserve"> et (d</w:t>
      </w:r>
      <w:r w:rsidR="00A13FE2">
        <w:t xml:space="preserve">) du nombre </w:t>
      </w:r>
      <w:r w:rsidR="00A13FE2" w:rsidRPr="00C4346A">
        <w:t>maxim</w:t>
      </w:r>
      <w:r w:rsidR="00C4346A" w:rsidRPr="00C4346A">
        <w:t xml:space="preserve">al </w:t>
      </w:r>
      <w:r w:rsidR="00A13FE2" w:rsidRPr="00C4346A">
        <w:t>d’actions ayant droit au</w:t>
      </w:r>
      <w:r w:rsidR="00876900" w:rsidRPr="00C4346A">
        <w:t xml:space="preserve"> solde du</w:t>
      </w:r>
      <w:r w:rsidR="00A13FE2" w:rsidRPr="00C4346A">
        <w:t xml:space="preserve"> dividende</w:t>
      </w:r>
      <w:r w:rsidR="00A13FE2">
        <w:t xml:space="preserve"> </w:t>
      </w:r>
      <w:r w:rsidR="00672ABB">
        <w:t>au titre de</w:t>
      </w:r>
      <w:r w:rsidR="00A13FE2">
        <w:t xml:space="preserve"> l’exercice 2015, </w:t>
      </w:r>
      <w:r w:rsidR="00672ABB">
        <w:t>à</w:t>
      </w:r>
      <w:r w:rsidR="00C4346A">
        <w:t xml:space="preserve"> 2 492 160</w:t>
      </w:r>
      <w:r w:rsidR="006052AE">
        <w:t> </w:t>
      </w:r>
      <w:r w:rsidR="00C4346A">
        <w:t>470</w:t>
      </w:r>
      <w:r w:rsidR="006052AE">
        <w:t xml:space="preserve"> </w:t>
      </w:r>
      <w:r>
        <w:t xml:space="preserve"> ; </w:t>
      </w:r>
    </w:p>
    <w:p w:rsidR="006052AE" w:rsidRDefault="000E29DF" w:rsidP="00672ABB">
      <w:pPr>
        <w:pStyle w:val="Paragraphedeliste"/>
        <w:numPr>
          <w:ilvl w:val="0"/>
          <w:numId w:val="2"/>
        </w:numPr>
        <w:spacing w:after="60"/>
        <w:ind w:left="1077"/>
        <w:contextualSpacing w:val="0"/>
        <w:jc w:val="both"/>
      </w:pPr>
      <w:r>
        <w:lastRenderedPageBreak/>
        <w:t xml:space="preserve">décide </w:t>
      </w:r>
      <w:r w:rsidR="00C4346A">
        <w:t>d’affecter le bé</w:t>
      </w:r>
      <w:r w:rsidR="006052AE">
        <w:t>néfice distribuable, comme suit</w:t>
      </w:r>
      <w:r w:rsidR="00491BAF">
        <w:t> :</w:t>
      </w:r>
    </w:p>
    <w:tbl>
      <w:tblPr>
        <w:tblStyle w:val="Grilledutableau"/>
        <w:tblW w:w="0" w:type="auto"/>
        <w:tblInd w:w="1080" w:type="dxa"/>
        <w:tblLook w:val="04A0"/>
      </w:tblPr>
      <w:tblGrid>
        <w:gridCol w:w="4179"/>
        <w:gridCol w:w="4141"/>
      </w:tblGrid>
      <w:tr w:rsidR="006052AE" w:rsidTr="00491BAF">
        <w:tc>
          <w:tcPr>
            <w:tcW w:w="4662" w:type="dxa"/>
            <w:tcBorders>
              <w:top w:val="dotted" w:sz="4" w:space="0" w:color="auto"/>
              <w:left w:val="nil"/>
              <w:bottom w:val="dotted" w:sz="4" w:space="0" w:color="auto"/>
              <w:right w:val="nil"/>
            </w:tcBorders>
          </w:tcPr>
          <w:p w:rsidR="006052AE" w:rsidRDefault="006052AE" w:rsidP="006052AE">
            <w:pPr>
              <w:pStyle w:val="Paragraphedeliste"/>
              <w:ind w:left="0"/>
              <w:jc w:val="both"/>
            </w:pPr>
            <w:r>
              <w:t>Dividende</w:t>
            </w:r>
          </w:p>
        </w:tc>
        <w:tc>
          <w:tcPr>
            <w:tcW w:w="4662" w:type="dxa"/>
            <w:tcBorders>
              <w:top w:val="dotted" w:sz="4" w:space="0" w:color="auto"/>
              <w:left w:val="nil"/>
              <w:bottom w:val="dotted" w:sz="4" w:space="0" w:color="auto"/>
              <w:right w:val="nil"/>
            </w:tcBorders>
          </w:tcPr>
          <w:p w:rsidR="006052AE" w:rsidRPr="00491BAF" w:rsidRDefault="00491BAF" w:rsidP="006052AE">
            <w:pPr>
              <w:pStyle w:val="Paragraphedeliste"/>
              <w:ind w:left="0"/>
              <w:jc w:val="both"/>
              <w:rPr>
                <w:highlight w:val="lightGray"/>
              </w:rPr>
            </w:pPr>
            <w:r w:rsidRPr="00491BAF">
              <w:rPr>
                <w:highlight w:val="lightGray"/>
              </w:rPr>
              <w:t xml:space="preserve">  5 </w:t>
            </w:r>
            <w:r w:rsidR="00672ABB">
              <w:rPr>
                <w:highlight w:val="lightGray"/>
              </w:rPr>
              <w:t xml:space="preserve"> </w:t>
            </w:r>
            <w:r w:rsidRPr="00491BAF">
              <w:rPr>
                <w:highlight w:val="lightGray"/>
              </w:rPr>
              <w:t>084 </w:t>
            </w:r>
            <w:r w:rsidR="00672ABB">
              <w:rPr>
                <w:highlight w:val="lightGray"/>
              </w:rPr>
              <w:t xml:space="preserve"> </w:t>
            </w:r>
            <w:r w:rsidRPr="00491BAF">
              <w:rPr>
                <w:highlight w:val="lightGray"/>
              </w:rPr>
              <w:t xml:space="preserve">007 </w:t>
            </w:r>
            <w:r w:rsidR="00672ABB">
              <w:rPr>
                <w:highlight w:val="lightGray"/>
              </w:rPr>
              <w:t xml:space="preserve"> </w:t>
            </w:r>
            <w:r w:rsidRPr="00491BAF">
              <w:rPr>
                <w:highlight w:val="lightGray"/>
              </w:rPr>
              <w:t>358,80 euros</w:t>
            </w:r>
          </w:p>
        </w:tc>
      </w:tr>
      <w:tr w:rsidR="006052AE" w:rsidTr="00491BAF">
        <w:tc>
          <w:tcPr>
            <w:tcW w:w="4662" w:type="dxa"/>
            <w:tcBorders>
              <w:top w:val="dotted" w:sz="4" w:space="0" w:color="auto"/>
              <w:left w:val="nil"/>
              <w:bottom w:val="dotted" w:sz="4" w:space="0" w:color="auto"/>
              <w:right w:val="nil"/>
            </w:tcBorders>
          </w:tcPr>
          <w:p w:rsidR="006052AE" w:rsidRDefault="006052AE" w:rsidP="006052AE">
            <w:pPr>
              <w:pStyle w:val="Paragraphedeliste"/>
              <w:ind w:left="0"/>
              <w:jc w:val="both"/>
            </w:pPr>
            <w:r>
              <w:t>Report à nouveau</w:t>
            </w:r>
          </w:p>
        </w:tc>
        <w:tc>
          <w:tcPr>
            <w:tcW w:w="4662" w:type="dxa"/>
            <w:tcBorders>
              <w:top w:val="dotted" w:sz="4" w:space="0" w:color="auto"/>
              <w:left w:val="nil"/>
              <w:bottom w:val="dotted" w:sz="4" w:space="0" w:color="auto"/>
              <w:right w:val="nil"/>
            </w:tcBorders>
          </w:tcPr>
          <w:p w:rsidR="006052AE" w:rsidRPr="00491BAF" w:rsidRDefault="00491BAF" w:rsidP="006052AE">
            <w:pPr>
              <w:pStyle w:val="Paragraphedeliste"/>
              <w:ind w:left="0"/>
              <w:jc w:val="both"/>
              <w:rPr>
                <w:highlight w:val="lightGray"/>
              </w:rPr>
            </w:pPr>
            <w:r w:rsidRPr="00491BAF">
              <w:rPr>
                <w:highlight w:val="lightGray"/>
              </w:rPr>
              <w:t>16 </w:t>
            </w:r>
            <w:r w:rsidR="00672ABB">
              <w:rPr>
                <w:highlight w:val="lightGray"/>
              </w:rPr>
              <w:t xml:space="preserve"> </w:t>
            </w:r>
            <w:r w:rsidRPr="00491BAF">
              <w:rPr>
                <w:highlight w:val="lightGray"/>
              </w:rPr>
              <w:t>888 </w:t>
            </w:r>
            <w:r w:rsidR="00672ABB">
              <w:rPr>
                <w:highlight w:val="lightGray"/>
              </w:rPr>
              <w:t xml:space="preserve"> </w:t>
            </w:r>
            <w:r w:rsidRPr="00491BAF">
              <w:rPr>
                <w:highlight w:val="lightGray"/>
              </w:rPr>
              <w:t xml:space="preserve">683 </w:t>
            </w:r>
            <w:r w:rsidR="00672ABB">
              <w:rPr>
                <w:highlight w:val="lightGray"/>
              </w:rPr>
              <w:t xml:space="preserve"> </w:t>
            </w:r>
            <w:r w:rsidRPr="00491BAF">
              <w:rPr>
                <w:highlight w:val="lightGray"/>
              </w:rPr>
              <w:t>225,43 euros</w:t>
            </w:r>
          </w:p>
        </w:tc>
      </w:tr>
      <w:tr w:rsidR="006052AE" w:rsidTr="00491BAF">
        <w:tc>
          <w:tcPr>
            <w:tcW w:w="4662" w:type="dxa"/>
            <w:tcBorders>
              <w:top w:val="dotted" w:sz="4" w:space="0" w:color="auto"/>
              <w:left w:val="nil"/>
              <w:bottom w:val="nil"/>
              <w:right w:val="nil"/>
            </w:tcBorders>
          </w:tcPr>
          <w:p w:rsidR="006052AE" w:rsidRDefault="006052AE" w:rsidP="006052AE">
            <w:pPr>
              <w:pStyle w:val="Paragraphedeliste"/>
              <w:ind w:left="0"/>
              <w:jc w:val="both"/>
            </w:pPr>
          </w:p>
        </w:tc>
        <w:tc>
          <w:tcPr>
            <w:tcW w:w="4662" w:type="dxa"/>
            <w:tcBorders>
              <w:top w:val="dotted" w:sz="4" w:space="0" w:color="auto"/>
              <w:left w:val="nil"/>
              <w:bottom w:val="nil"/>
              <w:right w:val="nil"/>
            </w:tcBorders>
          </w:tcPr>
          <w:p w:rsidR="006052AE" w:rsidRPr="00491BAF" w:rsidRDefault="00491BAF" w:rsidP="00491BAF">
            <w:pPr>
              <w:pStyle w:val="Paragraphedeliste"/>
              <w:ind w:left="5"/>
              <w:jc w:val="both"/>
              <w:rPr>
                <w:highlight w:val="lightGray"/>
              </w:rPr>
            </w:pPr>
            <w:r>
              <w:rPr>
                <w:highlight w:val="lightGray"/>
              </w:rPr>
              <w:t>2</w:t>
            </w:r>
            <w:r w:rsidR="00F34E09">
              <w:rPr>
                <w:highlight w:val="lightGray"/>
              </w:rPr>
              <w:t xml:space="preserve">1 </w:t>
            </w:r>
            <w:r w:rsidR="00672ABB">
              <w:rPr>
                <w:highlight w:val="lightGray"/>
              </w:rPr>
              <w:t xml:space="preserve"> </w:t>
            </w:r>
            <w:r w:rsidR="00C261A1" w:rsidRPr="00491BAF">
              <w:rPr>
                <w:highlight w:val="lightGray"/>
              </w:rPr>
              <w:t>972 </w:t>
            </w:r>
            <w:r w:rsidR="00672ABB">
              <w:rPr>
                <w:highlight w:val="lightGray"/>
              </w:rPr>
              <w:t xml:space="preserve"> </w:t>
            </w:r>
            <w:r w:rsidR="00C261A1" w:rsidRPr="00491BAF">
              <w:rPr>
                <w:highlight w:val="lightGray"/>
              </w:rPr>
              <w:t>690 </w:t>
            </w:r>
            <w:r w:rsidR="00672ABB">
              <w:rPr>
                <w:highlight w:val="lightGray"/>
              </w:rPr>
              <w:t xml:space="preserve"> </w:t>
            </w:r>
            <w:r w:rsidR="00C261A1" w:rsidRPr="00491BAF">
              <w:rPr>
                <w:highlight w:val="lightGray"/>
              </w:rPr>
              <w:t>584,23 euros</w:t>
            </w:r>
          </w:p>
        </w:tc>
      </w:tr>
    </w:tbl>
    <w:p w:rsidR="00A13FE2" w:rsidRDefault="00491BAF" w:rsidP="00672ABB">
      <w:pPr>
        <w:spacing w:before="120" w:after="120"/>
        <w:jc w:val="both"/>
      </w:pPr>
      <w:r>
        <w:t xml:space="preserve">En conséquence, </w:t>
      </w:r>
      <w:r w:rsidR="00821AB0">
        <w:t>un</w:t>
      </w:r>
      <w:r w:rsidR="000E29DF">
        <w:t xml:space="preserve"> dividende</w:t>
      </w:r>
      <w:r w:rsidR="00821AB0">
        <w:t xml:space="preserve"> de</w:t>
      </w:r>
      <w:r w:rsidR="000E29DF">
        <w:t xml:space="preserve"> </w:t>
      </w:r>
      <w:r w:rsidR="00A13FE2">
        <w:t>2</w:t>
      </w:r>
      <w:r w:rsidR="000E29DF">
        <w:t>,0</w:t>
      </w:r>
      <w:r w:rsidR="00A13FE2">
        <w:t>4</w:t>
      </w:r>
      <w:r w:rsidR="000E29DF">
        <w:t xml:space="preserve"> euro</w:t>
      </w:r>
      <w:r w:rsidR="00E721E5">
        <w:t>s</w:t>
      </w:r>
      <w:r w:rsidR="000E29DF">
        <w:t xml:space="preserve"> </w:t>
      </w:r>
      <w:r w:rsidR="00EE3C51">
        <w:t xml:space="preserve">par action reviendra à chacune des actions ouvrant </w:t>
      </w:r>
      <w:r w:rsidR="00EE3C51" w:rsidRPr="00491BAF">
        <w:t>droit à dividende</w:t>
      </w:r>
      <w:r w:rsidR="00EE3C51">
        <w:t xml:space="preserve"> étant précisé que si, lors de la mise en paiement du solde du dividende, le nombre d’actions ouvrant droit </w:t>
      </w:r>
      <w:r w:rsidR="00876900">
        <w:t>au solde du</w:t>
      </w:r>
      <w:r w:rsidR="00EE3C51">
        <w:t xml:space="preserve"> dividende </w:t>
      </w:r>
      <w:r w:rsidR="00876900">
        <w:t>relatif à</w:t>
      </w:r>
      <w:r w:rsidR="00EE3C51">
        <w:t xml:space="preserve"> l’exercice 2015 était inférieur au nombre maxim</w:t>
      </w:r>
      <w:r w:rsidR="00F34E09">
        <w:t>al</w:t>
      </w:r>
      <w:r w:rsidR="00EE3C51">
        <w:t xml:space="preserve"> d’actions susceptibles de bénéficier du</w:t>
      </w:r>
      <w:r w:rsidR="00876900">
        <w:t xml:space="preserve"> </w:t>
      </w:r>
      <w:r w:rsidR="00F34E09">
        <w:t>dividende indiqué ci-dessus</w:t>
      </w:r>
      <w:r w:rsidR="00EE3C51">
        <w:t xml:space="preserve">, le bénéfice correspondant au solde du dividende qui n’a pas été versé au titre de ces actions, serait affecté au compte </w:t>
      </w:r>
      <w:r w:rsidR="00A13FE2">
        <w:t>« </w:t>
      </w:r>
      <w:r w:rsidR="000E29DF">
        <w:t>Report à nouveau</w:t>
      </w:r>
      <w:r w:rsidR="00A13FE2">
        <w:t> »</w:t>
      </w:r>
      <w:r w:rsidR="000E29DF">
        <w:t xml:space="preserve"> ;</w:t>
      </w:r>
    </w:p>
    <w:p w:rsidR="00A13FE2" w:rsidRDefault="00491BAF" w:rsidP="00491BAF">
      <w:pPr>
        <w:spacing w:after="120"/>
        <w:jc w:val="both"/>
      </w:pPr>
      <w:r>
        <w:t>T</w:t>
      </w:r>
      <w:r w:rsidR="00A13FE2">
        <w:t xml:space="preserve">rois </w:t>
      </w:r>
      <w:r w:rsidR="000E29DF">
        <w:t>acompte</w:t>
      </w:r>
      <w:r w:rsidR="00A13FE2">
        <w:t>s</w:t>
      </w:r>
      <w:r w:rsidR="000E29DF">
        <w:t xml:space="preserve"> de 0,</w:t>
      </w:r>
      <w:r w:rsidR="00A13FE2">
        <w:t>61</w:t>
      </w:r>
      <w:r w:rsidR="000E29DF">
        <w:t xml:space="preserve"> euro par action </w:t>
      </w:r>
      <w:r w:rsidR="00F34E09">
        <w:t xml:space="preserve">ayant été </w:t>
      </w:r>
      <w:r w:rsidR="00A13FE2">
        <w:t xml:space="preserve">détachés </w:t>
      </w:r>
      <w:r w:rsidR="00876900">
        <w:t>chacun</w:t>
      </w:r>
      <w:r w:rsidR="00821AB0">
        <w:t xml:space="preserve"> </w:t>
      </w:r>
      <w:r w:rsidR="000E29DF">
        <w:t xml:space="preserve">le </w:t>
      </w:r>
      <w:r w:rsidR="00821AB0">
        <w:t xml:space="preserve">28 septembre 2015, le 21 décembre </w:t>
      </w:r>
      <w:r w:rsidR="000E29DF">
        <w:t>201</w:t>
      </w:r>
      <w:r w:rsidR="00821AB0">
        <w:t>5 et le 21 mars 2016</w:t>
      </w:r>
      <w:r w:rsidR="000E29DF">
        <w:t xml:space="preserve">, le solde à distribuer </w:t>
      </w:r>
      <w:r w:rsidR="00EE3C51">
        <w:t xml:space="preserve">au titre de l’exercice 2015 </w:t>
      </w:r>
      <w:r w:rsidR="00F34E09">
        <w:t>de</w:t>
      </w:r>
      <w:r w:rsidR="00A13FE2">
        <w:t xml:space="preserve"> 0,</w:t>
      </w:r>
      <w:r w:rsidR="00821AB0">
        <w:t>21</w:t>
      </w:r>
      <w:r w:rsidR="00A13FE2">
        <w:t xml:space="preserve"> euro par action</w:t>
      </w:r>
      <w:r w:rsidR="00F34E09">
        <w:t xml:space="preserve"> sera détaché de l’action sur Euronext Paris le 6 juin 2016 et mis en paiement le 23 juin 2016</w:t>
      </w:r>
      <w:r w:rsidR="00A13FE2">
        <w:t>.</w:t>
      </w:r>
    </w:p>
    <w:p w:rsidR="00F34E09" w:rsidRDefault="00F34E09" w:rsidP="00672ABB">
      <w:pPr>
        <w:spacing w:after="120"/>
        <w:jc w:val="both"/>
      </w:pPr>
      <w:r w:rsidRPr="00672ABB">
        <w:t>Conformément à l’article 243 bis du Code général des impôts, il est précisé que les trois acomptes de 0,61 euro par action, ainsi que le solde à distribuer de 0,</w:t>
      </w:r>
      <w:r w:rsidR="00672ABB">
        <w:t>2</w:t>
      </w:r>
      <w:r w:rsidRPr="00672ABB">
        <w:t>1 euro par action, sont éligibles à l’abattement de 40</w:t>
      </w:r>
      <w:r w:rsidR="00672ABB">
        <w:t> </w:t>
      </w:r>
      <w:r w:rsidRPr="00672ABB">
        <w:t>% bénéficiant aux personnes physiques, fiscalement domiciliées en France, prévu à l’article 158 du Code général des impôts.</w:t>
      </w:r>
    </w:p>
    <w:p w:rsidR="000E29DF" w:rsidRDefault="00672ABB" w:rsidP="00B11F05">
      <w:pPr>
        <w:spacing w:after="120"/>
        <w:jc w:val="both"/>
      </w:pPr>
      <w:r>
        <w:t>La suite</w:t>
      </w:r>
      <w:r w:rsidR="000E29DF">
        <w:t xml:space="preserve"> de la </w:t>
      </w:r>
      <w:r w:rsidR="000E29DF" w:rsidRPr="00672ABB">
        <w:t>troisième</w:t>
      </w:r>
      <w:r w:rsidR="000E29DF">
        <w:t xml:space="preserve"> résolution</w:t>
      </w:r>
      <w:r w:rsidR="00EE3C51">
        <w:t xml:space="preserve"> notamment </w:t>
      </w:r>
      <w:r w:rsidR="00876900">
        <w:t>en ce qui concerne l’option de perception du dividende en actions nouvelles et les modalités y afférant,</w:t>
      </w:r>
      <w:r w:rsidR="000E29DF">
        <w:t xml:space="preserve"> demeure inchangé</w:t>
      </w:r>
      <w:r>
        <w:t>e</w:t>
      </w:r>
      <w:r w:rsidR="000E29DF">
        <w:t>.</w:t>
      </w:r>
    </w:p>
    <w:sectPr w:rsidR="000E29DF" w:rsidSect="00B11F05">
      <w:footerReference w:type="default" r:id="rId13"/>
      <w:pgSz w:w="11906" w:h="16838"/>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C5" w:rsidRDefault="00AA05C5" w:rsidP="00463903">
      <w:pPr>
        <w:spacing w:after="0" w:line="240" w:lineRule="auto"/>
      </w:pPr>
      <w:r>
        <w:separator/>
      </w:r>
    </w:p>
  </w:endnote>
  <w:endnote w:type="continuationSeparator" w:id="0">
    <w:p w:rsidR="00AA05C5" w:rsidRDefault="00AA05C5" w:rsidP="00463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381"/>
      <w:docPartObj>
        <w:docPartGallery w:val="Page Numbers (Bottom of Page)"/>
        <w:docPartUnique/>
      </w:docPartObj>
    </w:sdtPr>
    <w:sdtContent>
      <w:sdt>
        <w:sdtPr>
          <w:id w:val="123787560"/>
          <w:docPartObj>
            <w:docPartGallery w:val="Page Numbers (Top of Page)"/>
            <w:docPartUnique/>
          </w:docPartObj>
        </w:sdtPr>
        <w:sdtContent>
          <w:p w:rsidR="00AA05C5" w:rsidRDefault="00AA05C5">
            <w:pPr>
              <w:pStyle w:val="Pieddepage"/>
              <w:jc w:val="center"/>
            </w:pPr>
            <w:r>
              <w:t xml:space="preserve">Page </w:t>
            </w:r>
            <w:r w:rsidR="003C5008">
              <w:rPr>
                <w:b/>
                <w:sz w:val="24"/>
                <w:szCs w:val="24"/>
              </w:rPr>
              <w:fldChar w:fldCharType="begin"/>
            </w:r>
            <w:r>
              <w:rPr>
                <w:b/>
              </w:rPr>
              <w:instrText>PAGE</w:instrText>
            </w:r>
            <w:r w:rsidR="003C5008">
              <w:rPr>
                <w:b/>
                <w:sz w:val="24"/>
                <w:szCs w:val="24"/>
              </w:rPr>
              <w:fldChar w:fldCharType="separate"/>
            </w:r>
            <w:r w:rsidR="00D26778">
              <w:rPr>
                <w:b/>
                <w:noProof/>
              </w:rPr>
              <w:t>6</w:t>
            </w:r>
            <w:r w:rsidR="003C5008">
              <w:rPr>
                <w:b/>
                <w:sz w:val="24"/>
                <w:szCs w:val="24"/>
              </w:rPr>
              <w:fldChar w:fldCharType="end"/>
            </w:r>
            <w:r>
              <w:t xml:space="preserve"> sur </w:t>
            </w:r>
            <w:r w:rsidR="003C5008">
              <w:rPr>
                <w:b/>
                <w:sz w:val="24"/>
                <w:szCs w:val="24"/>
              </w:rPr>
              <w:fldChar w:fldCharType="begin"/>
            </w:r>
            <w:r>
              <w:rPr>
                <w:b/>
              </w:rPr>
              <w:instrText>NUMPAGES</w:instrText>
            </w:r>
            <w:r w:rsidR="003C5008">
              <w:rPr>
                <w:b/>
                <w:sz w:val="24"/>
                <w:szCs w:val="24"/>
              </w:rPr>
              <w:fldChar w:fldCharType="separate"/>
            </w:r>
            <w:r w:rsidR="00D26778">
              <w:rPr>
                <w:b/>
                <w:noProof/>
              </w:rPr>
              <w:t>6</w:t>
            </w:r>
            <w:r w:rsidR="003C5008">
              <w:rPr>
                <w:b/>
                <w:sz w:val="24"/>
                <w:szCs w:val="24"/>
              </w:rPr>
              <w:fldChar w:fldCharType="end"/>
            </w:r>
          </w:p>
        </w:sdtContent>
      </w:sdt>
    </w:sdtContent>
  </w:sdt>
  <w:p w:rsidR="00AA05C5" w:rsidRDefault="00AA05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C5" w:rsidRDefault="00AA05C5" w:rsidP="00463903">
      <w:pPr>
        <w:spacing w:after="0" w:line="240" w:lineRule="auto"/>
      </w:pPr>
      <w:r>
        <w:separator/>
      </w:r>
    </w:p>
  </w:footnote>
  <w:footnote w:type="continuationSeparator" w:id="0">
    <w:p w:rsidR="00AA05C5" w:rsidRDefault="00AA05C5" w:rsidP="00463903">
      <w:pPr>
        <w:spacing w:after="0" w:line="240" w:lineRule="auto"/>
      </w:pPr>
      <w:r>
        <w:continuationSeparator/>
      </w:r>
    </w:p>
  </w:footnote>
  <w:footnote w:id="1">
    <w:p w:rsidR="00AA05C5" w:rsidRDefault="00AA05C5" w:rsidP="00801367">
      <w:pPr>
        <w:pStyle w:val="Notedebasdepage"/>
        <w:jc w:val="both"/>
      </w:pPr>
      <w:r>
        <w:rPr>
          <w:rStyle w:val="Appelnotedebasdep"/>
        </w:rPr>
        <w:footnoteRef/>
      </w:r>
      <w:r>
        <w:t xml:space="preserve"> Comme l’indique la note 20 C du document de référence 2015 relative au calcul du ratio d’endettement, « </w:t>
      </w:r>
      <w:r w:rsidRPr="00801367">
        <w:rPr>
          <w:i/>
        </w:rPr>
        <w:t>les capitaux propres retraités 2015 sont calculés après distribution d’un dividende de 2,44 euros par action sous réserve d’approbation par l’Assemblée générale des actionnaires du 24 mai 2016</w:t>
      </w:r>
      <w:r>
        <w:t> ».</w:t>
      </w:r>
    </w:p>
  </w:footnote>
  <w:footnote w:id="2">
    <w:p w:rsidR="00AA05C5" w:rsidRDefault="00AA05C5" w:rsidP="00463903">
      <w:pPr>
        <w:pStyle w:val="Notedebasdepage"/>
        <w:jc w:val="both"/>
      </w:pPr>
      <w:r>
        <w:rPr>
          <w:rStyle w:val="Appelnotedebasdep"/>
        </w:rPr>
        <w:footnoteRef/>
      </w:r>
      <w:r>
        <w:t xml:space="preserve"> A la date limite de dépôt de la présente résolution, ses promoteurs ne disposent pas de l’information relative au versement du 3</w:t>
      </w:r>
      <w:r w:rsidRPr="00463903">
        <w:rPr>
          <w:vertAlign w:val="superscript"/>
        </w:rPr>
        <w:t>e</w:t>
      </w:r>
      <w:r>
        <w:t xml:space="preserve"> acompte 2015.</w:t>
      </w:r>
    </w:p>
  </w:footnote>
  <w:footnote w:id="3">
    <w:p w:rsidR="00AA05C5" w:rsidRDefault="00AA05C5" w:rsidP="00475069">
      <w:pPr>
        <w:pStyle w:val="Notedebasdepage"/>
        <w:jc w:val="both"/>
      </w:pPr>
      <w:r>
        <w:rPr>
          <w:rStyle w:val="Appelnotedebasdep"/>
        </w:rPr>
        <w:footnoteRef/>
      </w:r>
      <w:r>
        <w:t xml:space="preserve"> Au vu des dates annoncées par la Société du détachement des acomptes sur dividende au titre des exercices 2016 et 2017, chacun des trois acomptes relatifs à ces deux exercices seront, dans l’éventualité d’une option de paiement du dividende en actions, encore décalés d’un trimestre civil, à l’instar des trois premiers acomptes relatifs à l’exercice 2015. Autrement dit, la reproduction de ce décalage de paiement ne permettra pas d’alléger de manière additionnelle la pression sur la trésorerie du Groupe.</w:t>
      </w:r>
    </w:p>
  </w:footnote>
  <w:footnote w:id="4">
    <w:p w:rsidR="00AA05C5" w:rsidRDefault="00AA05C5" w:rsidP="008E2CB4">
      <w:pPr>
        <w:pStyle w:val="Notedebasdepage"/>
        <w:jc w:val="both"/>
      </w:pPr>
      <w:r>
        <w:rPr>
          <w:rStyle w:val="Appelnotedebasdep"/>
        </w:rPr>
        <w:footnoteRef/>
      </w:r>
      <w:r>
        <w:t xml:space="preserve"> Présentation sur </w:t>
      </w:r>
      <w:hyperlink r:id="rId1" w:history="1">
        <w:r w:rsidRPr="002732B6">
          <w:rPr>
            <w:rStyle w:val="Lienhypertexte"/>
          </w:rPr>
          <w:t>http://www.total.com/fr/actionnaires/resultats/2015/resultats-2015-et-perspectives</w:t>
        </w:r>
      </w:hyperlink>
      <w:r>
        <w:t xml:space="preserve">. </w:t>
      </w:r>
    </w:p>
  </w:footnote>
  <w:footnote w:id="5">
    <w:p w:rsidR="00AA05C5" w:rsidRDefault="00AA05C5" w:rsidP="00765F60">
      <w:pPr>
        <w:pStyle w:val="Notedebasdepage"/>
        <w:jc w:val="both"/>
      </w:pPr>
      <w:r>
        <w:rPr>
          <w:rStyle w:val="Appelnotedebasdep"/>
        </w:rPr>
        <w:footnoteRef/>
      </w:r>
      <w:r>
        <w:t xml:space="preserve"> Sur la période 2011-2015, la part moyenne de l’Amont dans les capitaux employés moyens du Groupe était de 79 % alors que les cessions d’actifs Amont ont représenté en moyenne 55 % des cessions sur la période.</w:t>
      </w:r>
    </w:p>
  </w:footnote>
  <w:footnote w:id="6">
    <w:p w:rsidR="00AA05C5" w:rsidRDefault="00AA05C5" w:rsidP="00F1234D">
      <w:pPr>
        <w:pStyle w:val="Notedebasdepage"/>
        <w:jc w:val="both"/>
      </w:pPr>
      <w:r>
        <w:rPr>
          <w:rStyle w:val="Appelnotedebasdep"/>
        </w:rPr>
        <w:footnoteRef/>
      </w:r>
      <w:r>
        <w:t xml:space="preserve"> Challenges, 3 mars 2016 : </w:t>
      </w:r>
      <w:r w:rsidRPr="00F1234D">
        <w:rPr>
          <w:i/>
        </w:rPr>
        <w:t>A Total, feu vert syndical aux cessions</w:t>
      </w:r>
      <w:r>
        <w:t xml:space="preserve"> </w:t>
      </w:r>
      <w:hyperlink r:id="rId2" w:history="1">
        <w:r w:rsidRPr="00A403B5">
          <w:rPr>
            <w:rStyle w:val="Lienhypertexte"/>
          </w:rPr>
          <w:t>http://www.challenges.fr/challenges-soir/20160224.CHA5439/feu-vert-syndical-aux-cessions-chez-total.html</w:t>
        </w:r>
      </w:hyperlink>
      <w:r>
        <w:t>.</w:t>
      </w:r>
    </w:p>
  </w:footnote>
  <w:footnote w:id="7">
    <w:p w:rsidR="00AA05C5" w:rsidRPr="008A1DD2" w:rsidRDefault="00AA05C5" w:rsidP="00F1234D">
      <w:pPr>
        <w:pStyle w:val="Notedebasdepage"/>
        <w:jc w:val="both"/>
        <w:rPr>
          <w:lang w:val="en-US"/>
        </w:rPr>
      </w:pPr>
      <w:r>
        <w:rPr>
          <w:rStyle w:val="Appelnotedebasdep"/>
        </w:rPr>
        <w:footnoteRef/>
      </w:r>
      <w:r w:rsidRPr="008A1DD2">
        <w:rPr>
          <w:lang w:val="en-US"/>
        </w:rPr>
        <w:t xml:space="preserve"> Financial Times, 14 </w:t>
      </w:r>
      <w:proofErr w:type="spellStart"/>
      <w:r w:rsidRPr="008A1DD2">
        <w:rPr>
          <w:lang w:val="en-US"/>
        </w:rPr>
        <w:t>février</w:t>
      </w:r>
      <w:proofErr w:type="spellEnd"/>
      <w:r w:rsidRPr="008A1DD2">
        <w:rPr>
          <w:lang w:val="en-US"/>
        </w:rPr>
        <w:t xml:space="preserve"> </w:t>
      </w:r>
      <w:proofErr w:type="gramStart"/>
      <w:r w:rsidRPr="008A1DD2">
        <w:rPr>
          <w:lang w:val="en-US"/>
        </w:rPr>
        <w:t>2016 :</w:t>
      </w:r>
      <w:proofErr w:type="gramEnd"/>
      <w:r w:rsidRPr="008A1DD2">
        <w:rPr>
          <w:lang w:val="en-US"/>
        </w:rPr>
        <w:t xml:space="preserve"> </w:t>
      </w:r>
      <w:r w:rsidRPr="008A1DD2">
        <w:rPr>
          <w:i/>
          <w:lang w:val="en-US"/>
        </w:rPr>
        <w:t>Investors split over oil majors’ payouts</w:t>
      </w:r>
      <w:r>
        <w:rPr>
          <w:lang w:val="en-US"/>
        </w:rPr>
        <w:t xml:space="preserve">.  </w:t>
      </w:r>
    </w:p>
  </w:footnote>
  <w:footnote w:id="8">
    <w:p w:rsidR="00AA05C5" w:rsidRDefault="00AA05C5" w:rsidP="00F22DBB">
      <w:pPr>
        <w:pStyle w:val="Notedebasdepage"/>
        <w:jc w:val="both"/>
      </w:pPr>
      <w:r>
        <w:rPr>
          <w:rStyle w:val="Appelnotedebasdep"/>
        </w:rPr>
        <w:footnoteRef/>
      </w:r>
      <w:r>
        <w:t xml:space="preserve"> En 2006 (respectivement 2007), le dividende par action s’élevait à 1,87 € (</w:t>
      </w:r>
      <w:proofErr w:type="spellStart"/>
      <w:r>
        <w:t>resp</w:t>
      </w:r>
      <w:proofErr w:type="spellEnd"/>
      <w:r>
        <w:t>. 2,07 €) alors que le cours moyen du Brent était de 65,1 $/b (</w:t>
      </w:r>
      <w:proofErr w:type="spellStart"/>
      <w:r>
        <w:t>resp</w:t>
      </w:r>
      <w:proofErr w:type="spellEnd"/>
      <w:r>
        <w:t>. 72,4 $/b).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0004"/>
    <w:multiLevelType w:val="hybridMultilevel"/>
    <w:tmpl w:val="31DC19B6"/>
    <w:lvl w:ilvl="0" w:tplc="21E0FCE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A90BEA"/>
    <w:multiLevelType w:val="hybridMultilevel"/>
    <w:tmpl w:val="A90224B4"/>
    <w:lvl w:ilvl="0" w:tplc="C244517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D17152"/>
    <w:multiLevelType w:val="hybridMultilevel"/>
    <w:tmpl w:val="FB126D20"/>
    <w:lvl w:ilvl="0" w:tplc="F2F67B9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7DFB6351"/>
    <w:multiLevelType w:val="hybridMultilevel"/>
    <w:tmpl w:val="6C7C3AC2"/>
    <w:lvl w:ilvl="0" w:tplc="776CC9C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F5E0E"/>
    <w:rsid w:val="00087A6F"/>
    <w:rsid w:val="000A49DD"/>
    <w:rsid w:val="000B5C68"/>
    <w:rsid w:val="000D521C"/>
    <w:rsid w:val="000E29DF"/>
    <w:rsid w:val="000E6487"/>
    <w:rsid w:val="001132D3"/>
    <w:rsid w:val="0013354F"/>
    <w:rsid w:val="00164137"/>
    <w:rsid w:val="00171828"/>
    <w:rsid w:val="001A4D8D"/>
    <w:rsid w:val="001B2B51"/>
    <w:rsid w:val="001B7274"/>
    <w:rsid w:val="00245E34"/>
    <w:rsid w:val="00262D7E"/>
    <w:rsid w:val="00267328"/>
    <w:rsid w:val="00270A8F"/>
    <w:rsid w:val="002C7F35"/>
    <w:rsid w:val="002F5E0E"/>
    <w:rsid w:val="002F5E78"/>
    <w:rsid w:val="0035196E"/>
    <w:rsid w:val="00392DFF"/>
    <w:rsid w:val="003A4A2C"/>
    <w:rsid w:val="003B3507"/>
    <w:rsid w:val="003C34F8"/>
    <w:rsid w:val="003C5008"/>
    <w:rsid w:val="003E4BD1"/>
    <w:rsid w:val="003F4705"/>
    <w:rsid w:val="00401FD3"/>
    <w:rsid w:val="0043279E"/>
    <w:rsid w:val="004418AD"/>
    <w:rsid w:val="004441A6"/>
    <w:rsid w:val="00463903"/>
    <w:rsid w:val="00470C46"/>
    <w:rsid w:val="00475069"/>
    <w:rsid w:val="00491BAF"/>
    <w:rsid w:val="004F1007"/>
    <w:rsid w:val="004F23EF"/>
    <w:rsid w:val="005260F7"/>
    <w:rsid w:val="005467E9"/>
    <w:rsid w:val="00553E44"/>
    <w:rsid w:val="00566C82"/>
    <w:rsid w:val="005B43E2"/>
    <w:rsid w:val="005D361E"/>
    <w:rsid w:val="005E01B9"/>
    <w:rsid w:val="006034BD"/>
    <w:rsid w:val="006052AE"/>
    <w:rsid w:val="00634302"/>
    <w:rsid w:val="0064007C"/>
    <w:rsid w:val="0064672E"/>
    <w:rsid w:val="00650E07"/>
    <w:rsid w:val="00672ABB"/>
    <w:rsid w:val="006B76B2"/>
    <w:rsid w:val="006C67C8"/>
    <w:rsid w:val="00706845"/>
    <w:rsid w:val="00727AD3"/>
    <w:rsid w:val="00733E4E"/>
    <w:rsid w:val="007406C0"/>
    <w:rsid w:val="00751820"/>
    <w:rsid w:val="007548BC"/>
    <w:rsid w:val="00762431"/>
    <w:rsid w:val="00763AE6"/>
    <w:rsid w:val="00765F60"/>
    <w:rsid w:val="00787DF2"/>
    <w:rsid w:val="007A162A"/>
    <w:rsid w:val="00801367"/>
    <w:rsid w:val="00814141"/>
    <w:rsid w:val="00821AB0"/>
    <w:rsid w:val="00854431"/>
    <w:rsid w:val="00876900"/>
    <w:rsid w:val="00877434"/>
    <w:rsid w:val="00897721"/>
    <w:rsid w:val="008A1DD2"/>
    <w:rsid w:val="008B4A79"/>
    <w:rsid w:val="008D7B27"/>
    <w:rsid w:val="008E2CB4"/>
    <w:rsid w:val="0090390A"/>
    <w:rsid w:val="009405E2"/>
    <w:rsid w:val="009679A3"/>
    <w:rsid w:val="00992605"/>
    <w:rsid w:val="009966D9"/>
    <w:rsid w:val="009B3853"/>
    <w:rsid w:val="009F7317"/>
    <w:rsid w:val="00A13FE2"/>
    <w:rsid w:val="00A369E4"/>
    <w:rsid w:val="00A4553E"/>
    <w:rsid w:val="00A63672"/>
    <w:rsid w:val="00AA05C5"/>
    <w:rsid w:val="00AA411C"/>
    <w:rsid w:val="00AC6E22"/>
    <w:rsid w:val="00AE0447"/>
    <w:rsid w:val="00B07D43"/>
    <w:rsid w:val="00B11F05"/>
    <w:rsid w:val="00B22319"/>
    <w:rsid w:val="00B338EF"/>
    <w:rsid w:val="00B42409"/>
    <w:rsid w:val="00B5751D"/>
    <w:rsid w:val="00B621C9"/>
    <w:rsid w:val="00B67F40"/>
    <w:rsid w:val="00BA3061"/>
    <w:rsid w:val="00BB75B2"/>
    <w:rsid w:val="00C0615B"/>
    <w:rsid w:val="00C261A1"/>
    <w:rsid w:val="00C30050"/>
    <w:rsid w:val="00C4346A"/>
    <w:rsid w:val="00C439A3"/>
    <w:rsid w:val="00C77A60"/>
    <w:rsid w:val="00C971C9"/>
    <w:rsid w:val="00CF6966"/>
    <w:rsid w:val="00D02E75"/>
    <w:rsid w:val="00D058F3"/>
    <w:rsid w:val="00D145A4"/>
    <w:rsid w:val="00D26778"/>
    <w:rsid w:val="00D273BB"/>
    <w:rsid w:val="00D51377"/>
    <w:rsid w:val="00D84C47"/>
    <w:rsid w:val="00DA70B8"/>
    <w:rsid w:val="00DB50B7"/>
    <w:rsid w:val="00DC1058"/>
    <w:rsid w:val="00DC32FD"/>
    <w:rsid w:val="00DE598D"/>
    <w:rsid w:val="00DF7885"/>
    <w:rsid w:val="00E337FA"/>
    <w:rsid w:val="00E34876"/>
    <w:rsid w:val="00E35B5E"/>
    <w:rsid w:val="00E412FB"/>
    <w:rsid w:val="00E51D4C"/>
    <w:rsid w:val="00E62AF5"/>
    <w:rsid w:val="00E66354"/>
    <w:rsid w:val="00E721E5"/>
    <w:rsid w:val="00EB4C40"/>
    <w:rsid w:val="00EC149D"/>
    <w:rsid w:val="00EC23CB"/>
    <w:rsid w:val="00EE3C51"/>
    <w:rsid w:val="00F1234D"/>
    <w:rsid w:val="00F22DBB"/>
    <w:rsid w:val="00F32C82"/>
    <w:rsid w:val="00F34E09"/>
    <w:rsid w:val="00F709DA"/>
    <w:rsid w:val="00F715EF"/>
    <w:rsid w:val="00FD33F5"/>
    <w:rsid w:val="00FF0A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D3"/>
  </w:style>
  <w:style w:type="paragraph" w:styleId="Titre1">
    <w:name w:val="heading 1"/>
    <w:basedOn w:val="Normal"/>
    <w:link w:val="Titre1Car"/>
    <w:uiPriority w:val="9"/>
    <w:qFormat/>
    <w:rsid w:val="008A1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35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54F"/>
    <w:rPr>
      <w:rFonts w:ascii="Tahoma" w:hAnsi="Tahoma" w:cs="Tahoma"/>
      <w:sz w:val="16"/>
      <w:szCs w:val="16"/>
    </w:rPr>
  </w:style>
  <w:style w:type="paragraph" w:styleId="Paragraphedeliste">
    <w:name w:val="List Paragraph"/>
    <w:basedOn w:val="Normal"/>
    <w:uiPriority w:val="34"/>
    <w:qFormat/>
    <w:rsid w:val="00992605"/>
    <w:pPr>
      <w:ind w:left="720"/>
      <w:contextualSpacing/>
    </w:pPr>
  </w:style>
  <w:style w:type="character" w:styleId="Lienhypertexte">
    <w:name w:val="Hyperlink"/>
    <w:basedOn w:val="Policepardfaut"/>
    <w:uiPriority w:val="99"/>
    <w:unhideWhenUsed/>
    <w:rsid w:val="00F715EF"/>
    <w:rPr>
      <w:color w:val="0000FF" w:themeColor="hyperlink"/>
      <w:u w:val="single"/>
    </w:rPr>
  </w:style>
  <w:style w:type="paragraph" w:styleId="Notedebasdepage">
    <w:name w:val="footnote text"/>
    <w:basedOn w:val="Normal"/>
    <w:link w:val="NotedebasdepageCar"/>
    <w:uiPriority w:val="99"/>
    <w:semiHidden/>
    <w:unhideWhenUsed/>
    <w:rsid w:val="004639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3903"/>
    <w:rPr>
      <w:sz w:val="20"/>
      <w:szCs w:val="20"/>
    </w:rPr>
  </w:style>
  <w:style w:type="character" w:styleId="Appelnotedebasdep">
    <w:name w:val="footnote reference"/>
    <w:basedOn w:val="Policepardfaut"/>
    <w:uiPriority w:val="99"/>
    <w:semiHidden/>
    <w:unhideWhenUsed/>
    <w:rsid w:val="00463903"/>
    <w:rPr>
      <w:vertAlign w:val="superscript"/>
    </w:rPr>
  </w:style>
  <w:style w:type="paragraph" w:styleId="En-tte">
    <w:name w:val="header"/>
    <w:basedOn w:val="Normal"/>
    <w:link w:val="En-tteCar"/>
    <w:uiPriority w:val="99"/>
    <w:semiHidden/>
    <w:unhideWhenUsed/>
    <w:rsid w:val="000D52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521C"/>
  </w:style>
  <w:style w:type="paragraph" w:styleId="Pieddepage">
    <w:name w:val="footer"/>
    <w:basedOn w:val="Normal"/>
    <w:link w:val="PieddepageCar"/>
    <w:uiPriority w:val="99"/>
    <w:unhideWhenUsed/>
    <w:rsid w:val="000D5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21C"/>
  </w:style>
  <w:style w:type="character" w:styleId="Lienhypertextesuivivisit">
    <w:name w:val="FollowedHyperlink"/>
    <w:basedOn w:val="Policepardfaut"/>
    <w:uiPriority w:val="99"/>
    <w:semiHidden/>
    <w:unhideWhenUsed/>
    <w:rsid w:val="00470C46"/>
    <w:rPr>
      <w:color w:val="800080" w:themeColor="followedHyperlink"/>
      <w:u w:val="single"/>
    </w:rPr>
  </w:style>
  <w:style w:type="table" w:styleId="Grilledutableau">
    <w:name w:val="Table Grid"/>
    <w:basedOn w:val="TableauNormal"/>
    <w:uiPriority w:val="59"/>
    <w:rsid w:val="0047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A1DD2"/>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805925784">
      <w:bodyDiv w:val="1"/>
      <w:marLeft w:val="0"/>
      <w:marRight w:val="0"/>
      <w:marTop w:val="0"/>
      <w:marBottom w:val="0"/>
      <w:divBdr>
        <w:top w:val="none" w:sz="0" w:space="0" w:color="auto"/>
        <w:left w:val="none" w:sz="0" w:space="0" w:color="auto"/>
        <w:bottom w:val="none" w:sz="0" w:space="0" w:color="auto"/>
        <w:right w:val="none" w:sz="0" w:space="0" w:color="auto"/>
      </w:divBdr>
    </w:div>
    <w:div w:id="15218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nvesting.com/commodities/brent-oil-historical-d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hallenges.fr/challenges-soir/20160224.CHA5439/feu-vert-syndical-aux-cessions-chez-total.html" TargetMode="External"/><Relationship Id="rId1" Type="http://schemas.openxmlformats.org/officeDocument/2006/relationships/hyperlink" Target="http://www.total.com/fr/actionnaires/resultats/2015/resultats-2015-et-perspectiv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35C74-48EF-40F1-A9EA-944B6F67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12364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J0009364</dc:creator>
  <cp:lastModifiedBy>J0007869</cp:lastModifiedBy>
  <cp:revision>2</cp:revision>
  <cp:lastPrinted>2016-03-25T09:00:00Z</cp:lastPrinted>
  <dcterms:created xsi:type="dcterms:W3CDTF">2016-03-25T09:01:00Z</dcterms:created>
  <dcterms:modified xsi:type="dcterms:W3CDTF">2016-03-25T09:01:00Z</dcterms:modified>
</cp:coreProperties>
</file>